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42A7" w14:textId="6E85FFD7" w:rsidR="003C716B" w:rsidRDefault="00B12988" w:rsidP="00B12988">
      <w:r w:rsidRPr="00366213">
        <w:rPr>
          <w:rFonts w:ascii="Arial" w:hAnsi="Arial" w:cs="Arial"/>
          <w:noProof/>
        </w:rPr>
        <w:drawing>
          <wp:anchor distT="0" distB="0" distL="114300" distR="114300" simplePos="0" relativeHeight="251658240" behindDoc="1" locked="0" layoutInCell="1" allowOverlap="1" wp14:anchorId="680E0763" wp14:editId="3E69D595">
            <wp:simplePos x="0" y="0"/>
            <wp:positionH relativeFrom="margin">
              <wp:align>center</wp:align>
            </wp:positionH>
            <wp:positionV relativeFrom="paragraph">
              <wp:posOffset>103</wp:posOffset>
            </wp:positionV>
            <wp:extent cx="1472540" cy="1799768"/>
            <wp:effectExtent l="0" t="0" r="0" b="0"/>
            <wp:wrapTight wrapText="bothSides">
              <wp:wrapPolygon edited="0">
                <wp:start x="9225" y="0"/>
                <wp:lineTo x="5871" y="3658"/>
                <wp:lineTo x="3075" y="5945"/>
                <wp:lineTo x="2516" y="6631"/>
                <wp:lineTo x="2516" y="7546"/>
                <wp:lineTo x="1398" y="10975"/>
                <wp:lineTo x="0" y="12119"/>
                <wp:lineTo x="0" y="13033"/>
                <wp:lineTo x="1957" y="14634"/>
                <wp:lineTo x="2516" y="18749"/>
                <wp:lineTo x="8666" y="21265"/>
                <wp:lineTo x="9784" y="21265"/>
                <wp:lineTo x="11462" y="21265"/>
                <wp:lineTo x="12580" y="21265"/>
                <wp:lineTo x="18730" y="18749"/>
                <wp:lineTo x="19289" y="14634"/>
                <wp:lineTo x="21246" y="13033"/>
                <wp:lineTo x="21246" y="12119"/>
                <wp:lineTo x="19848" y="10975"/>
                <wp:lineTo x="19009" y="7088"/>
                <wp:lineTo x="18171" y="5945"/>
                <wp:lineTo x="15375" y="3658"/>
                <wp:lineTo x="12021" y="0"/>
                <wp:lineTo x="9225" y="0"/>
              </wp:wrapPolygon>
            </wp:wrapTight>
            <wp:docPr id="1" name="Picture 1" descr="A blue and white logo with a crown and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a crown and a de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2540" cy="1799768"/>
                    </a:xfrm>
                    <a:prstGeom prst="rect">
                      <a:avLst/>
                    </a:prstGeom>
                    <a:noFill/>
                    <a:ln>
                      <a:noFill/>
                    </a:ln>
                  </pic:spPr>
                </pic:pic>
              </a:graphicData>
            </a:graphic>
          </wp:anchor>
        </w:drawing>
      </w:r>
    </w:p>
    <w:p w14:paraId="34508540" w14:textId="77777777" w:rsidR="00B12988" w:rsidRPr="00B12988" w:rsidRDefault="00B12988" w:rsidP="00B12988"/>
    <w:p w14:paraId="0666E98B" w14:textId="77777777" w:rsidR="00B12988" w:rsidRPr="00B12988" w:rsidRDefault="00B12988" w:rsidP="00B12988"/>
    <w:p w14:paraId="45A41C01" w14:textId="77777777" w:rsidR="00B12988" w:rsidRPr="00B12988" w:rsidRDefault="00B12988" w:rsidP="00B12988"/>
    <w:p w14:paraId="163145A1" w14:textId="77777777" w:rsidR="00B12988" w:rsidRPr="00B12988" w:rsidRDefault="00B12988" w:rsidP="00B12988"/>
    <w:p w14:paraId="35961423" w14:textId="77777777" w:rsidR="00B12988" w:rsidRPr="00B12988" w:rsidRDefault="00B12988" w:rsidP="00B12988"/>
    <w:p w14:paraId="04A08B0A" w14:textId="7D212970" w:rsidR="00B12988" w:rsidRPr="00B12988" w:rsidRDefault="00B12988" w:rsidP="00B12988">
      <w:pPr>
        <w:pStyle w:val="NoSpacing"/>
        <w:jc w:val="center"/>
        <w:rPr>
          <w:color w:val="215E99" w:themeColor="text2" w:themeTint="BF"/>
          <w:sz w:val="40"/>
          <w:szCs w:val="40"/>
        </w:rPr>
      </w:pPr>
      <w:r w:rsidRPr="00B12988">
        <w:rPr>
          <w:color w:val="215E99" w:themeColor="text2" w:themeTint="BF"/>
          <w:sz w:val="40"/>
          <w:szCs w:val="40"/>
        </w:rPr>
        <w:t>Hertfordshire Constabulary</w:t>
      </w:r>
    </w:p>
    <w:p w14:paraId="1EE83CB7" w14:textId="703F16CD" w:rsidR="00B12988" w:rsidRDefault="00B12988" w:rsidP="00B12988">
      <w:pPr>
        <w:pStyle w:val="NoSpacing"/>
        <w:pBdr>
          <w:bottom w:val="single" w:sz="6" w:space="1" w:color="auto"/>
        </w:pBdr>
        <w:jc w:val="center"/>
        <w:rPr>
          <w:color w:val="215E99" w:themeColor="text2" w:themeTint="BF"/>
          <w:sz w:val="40"/>
          <w:szCs w:val="40"/>
        </w:rPr>
      </w:pPr>
      <w:r w:rsidRPr="00B12988">
        <w:rPr>
          <w:color w:val="215E99" w:themeColor="text2" w:themeTint="BF"/>
          <w:sz w:val="40"/>
          <w:szCs w:val="40"/>
        </w:rPr>
        <w:t>Live Facial Recognition (LFR): Legal Mandate</w:t>
      </w:r>
    </w:p>
    <w:p w14:paraId="42EC9192" w14:textId="77777777" w:rsidR="00E9669E" w:rsidRDefault="00E9669E" w:rsidP="00B12988">
      <w:pPr>
        <w:pStyle w:val="NoSpacing"/>
        <w:jc w:val="center"/>
        <w:rPr>
          <w:color w:val="215E99" w:themeColor="text2" w:themeTint="BF"/>
        </w:rPr>
      </w:pPr>
    </w:p>
    <w:p w14:paraId="6BCDD2FB" w14:textId="62E9EB16" w:rsidR="00B12988" w:rsidRDefault="00B12988" w:rsidP="00B12988">
      <w:pPr>
        <w:pStyle w:val="NoSpacing"/>
        <w:jc w:val="center"/>
        <w:rPr>
          <w:color w:val="215E99" w:themeColor="text2" w:themeTint="BF"/>
        </w:rPr>
      </w:pPr>
      <w:r>
        <w:rPr>
          <w:color w:val="215E99" w:themeColor="text2" w:themeTint="BF"/>
        </w:rPr>
        <w:t>Summary: Outlines the legal basis for the Hertfordshire Constabulary use of LFR technology</w:t>
      </w:r>
    </w:p>
    <w:p w14:paraId="10B4DFB7" w14:textId="77777777" w:rsidR="00E9669E" w:rsidRDefault="00E9669E" w:rsidP="00B12988">
      <w:pPr>
        <w:pStyle w:val="NoSpacing"/>
        <w:jc w:val="center"/>
        <w:rPr>
          <w:color w:val="215E99" w:themeColor="text2" w:themeTint="BF"/>
        </w:rPr>
      </w:pPr>
    </w:p>
    <w:p w14:paraId="6FA35638" w14:textId="77777777" w:rsidR="00E9669E" w:rsidRDefault="00E9669E" w:rsidP="00B12988">
      <w:pPr>
        <w:pStyle w:val="NoSpacing"/>
        <w:jc w:val="center"/>
        <w:rPr>
          <w:color w:val="215E99" w:themeColor="text2" w:themeTint="BF"/>
        </w:rPr>
      </w:pPr>
    </w:p>
    <w:p w14:paraId="01B31DB4" w14:textId="77777777" w:rsidR="00E9669E" w:rsidRDefault="00E9669E" w:rsidP="00B12988">
      <w:pPr>
        <w:pStyle w:val="NoSpacing"/>
        <w:jc w:val="center"/>
        <w:rPr>
          <w:color w:val="215E99" w:themeColor="text2" w:themeTint="BF"/>
        </w:rPr>
      </w:pPr>
    </w:p>
    <w:p w14:paraId="10C5BBDA" w14:textId="77777777" w:rsidR="00E9669E" w:rsidRDefault="00E9669E" w:rsidP="00B12988">
      <w:pPr>
        <w:pStyle w:val="NoSpacing"/>
        <w:jc w:val="center"/>
        <w:rPr>
          <w:color w:val="215E99" w:themeColor="text2" w:themeTint="BF"/>
        </w:rPr>
      </w:pPr>
    </w:p>
    <w:tbl>
      <w:tblPr>
        <w:tblStyle w:val="TableGrid"/>
        <w:tblW w:w="0" w:type="auto"/>
        <w:tblLook w:val="04A0" w:firstRow="1" w:lastRow="0" w:firstColumn="1" w:lastColumn="0" w:noHBand="0" w:noVBand="1"/>
      </w:tblPr>
      <w:tblGrid>
        <w:gridCol w:w="4508"/>
        <w:gridCol w:w="4508"/>
      </w:tblGrid>
      <w:tr w:rsidR="00E9669E" w14:paraId="6C069A18" w14:textId="77777777" w:rsidTr="00E9669E">
        <w:tc>
          <w:tcPr>
            <w:tcW w:w="4508" w:type="dxa"/>
          </w:tcPr>
          <w:p w14:paraId="4A223C3B" w14:textId="13481E0F" w:rsidR="00E9669E" w:rsidRPr="00E9669E" w:rsidRDefault="00E9669E" w:rsidP="00B12988">
            <w:pPr>
              <w:pStyle w:val="NoSpacing"/>
              <w:jc w:val="center"/>
            </w:pPr>
            <w:r>
              <w:t>Name of Force</w:t>
            </w:r>
          </w:p>
        </w:tc>
        <w:tc>
          <w:tcPr>
            <w:tcW w:w="4508" w:type="dxa"/>
          </w:tcPr>
          <w:p w14:paraId="1E6D8EA9" w14:textId="6FB3DF72" w:rsidR="00E9669E" w:rsidRPr="00E9669E" w:rsidRDefault="00E9669E" w:rsidP="00B12988">
            <w:pPr>
              <w:pStyle w:val="NoSpacing"/>
              <w:jc w:val="center"/>
            </w:pPr>
            <w:r>
              <w:t>Hertfordshire Constabulary</w:t>
            </w:r>
          </w:p>
        </w:tc>
      </w:tr>
      <w:tr w:rsidR="00E9669E" w:rsidRPr="00E9669E" w14:paraId="62A4CC52" w14:textId="77777777" w:rsidTr="00E9669E">
        <w:tc>
          <w:tcPr>
            <w:tcW w:w="4508" w:type="dxa"/>
          </w:tcPr>
          <w:p w14:paraId="54528D78" w14:textId="3DEE823D" w:rsidR="00E9669E" w:rsidRPr="00E9669E" w:rsidRDefault="00E9669E" w:rsidP="00B12988">
            <w:pPr>
              <w:pStyle w:val="NoSpacing"/>
              <w:jc w:val="center"/>
            </w:pPr>
            <w:r w:rsidRPr="00E9669E">
              <w:t>Subject</w:t>
            </w:r>
          </w:p>
        </w:tc>
        <w:tc>
          <w:tcPr>
            <w:tcW w:w="4508" w:type="dxa"/>
          </w:tcPr>
          <w:p w14:paraId="7E0A0D15" w14:textId="7457742F" w:rsidR="00E9669E" w:rsidRPr="00E9669E" w:rsidRDefault="00E9669E" w:rsidP="00B12988">
            <w:pPr>
              <w:pStyle w:val="NoSpacing"/>
              <w:jc w:val="center"/>
            </w:pPr>
            <w:r w:rsidRPr="00E9669E">
              <w:t>Live Facial Recognition</w:t>
            </w:r>
          </w:p>
        </w:tc>
      </w:tr>
      <w:tr w:rsidR="00E9669E" w:rsidRPr="00E9669E" w14:paraId="08699BAE" w14:textId="77777777" w:rsidTr="00E9669E">
        <w:tc>
          <w:tcPr>
            <w:tcW w:w="4508" w:type="dxa"/>
          </w:tcPr>
          <w:p w14:paraId="673F62FE" w14:textId="15F7F9EB" w:rsidR="00E9669E" w:rsidRPr="00E9669E" w:rsidRDefault="00E9669E" w:rsidP="00B12988">
            <w:pPr>
              <w:pStyle w:val="NoSpacing"/>
              <w:jc w:val="center"/>
            </w:pPr>
            <w:r w:rsidRPr="00E9669E">
              <w:t>Summary</w:t>
            </w:r>
          </w:p>
        </w:tc>
        <w:tc>
          <w:tcPr>
            <w:tcW w:w="4508" w:type="dxa"/>
          </w:tcPr>
          <w:p w14:paraId="05C5981F" w14:textId="748C17A3" w:rsidR="00E9669E" w:rsidRPr="00E9669E" w:rsidRDefault="00E9669E" w:rsidP="00B12988">
            <w:pPr>
              <w:pStyle w:val="NoSpacing"/>
              <w:jc w:val="center"/>
            </w:pPr>
            <w:r w:rsidRPr="00E9669E">
              <w:t>Outlines the legal basis for Hertfordshire Constabulary use of overt LFR technology to locate persons on a Watchlist</w:t>
            </w:r>
          </w:p>
        </w:tc>
      </w:tr>
      <w:tr w:rsidR="00E9669E" w:rsidRPr="00E9669E" w14:paraId="029D74E6" w14:textId="77777777" w:rsidTr="00E9669E">
        <w:tc>
          <w:tcPr>
            <w:tcW w:w="4508" w:type="dxa"/>
          </w:tcPr>
          <w:p w14:paraId="56862173" w14:textId="2E55E00B" w:rsidR="00E9669E" w:rsidRPr="00E9669E" w:rsidRDefault="00E9669E" w:rsidP="00B12988">
            <w:pPr>
              <w:pStyle w:val="NoSpacing"/>
              <w:jc w:val="center"/>
            </w:pPr>
            <w:r w:rsidRPr="00E9669E">
              <w:t>Author</w:t>
            </w:r>
          </w:p>
        </w:tc>
        <w:tc>
          <w:tcPr>
            <w:tcW w:w="4508" w:type="dxa"/>
          </w:tcPr>
          <w:p w14:paraId="72BE1E4D" w14:textId="02004062" w:rsidR="00E9669E" w:rsidRPr="00E9669E" w:rsidRDefault="004A0C15" w:rsidP="00B12988">
            <w:pPr>
              <w:pStyle w:val="NoSpacing"/>
              <w:jc w:val="center"/>
            </w:pPr>
            <w:r>
              <w:t>Ch Insp 411 Chris Rutter</w:t>
            </w:r>
          </w:p>
        </w:tc>
      </w:tr>
    </w:tbl>
    <w:p w14:paraId="62F172E7" w14:textId="77777777" w:rsidR="00E9669E" w:rsidRPr="00E9669E" w:rsidRDefault="00E9669E" w:rsidP="00B12988">
      <w:pPr>
        <w:pStyle w:val="NoSpacing"/>
        <w:jc w:val="center"/>
      </w:pPr>
    </w:p>
    <w:tbl>
      <w:tblPr>
        <w:tblStyle w:val="TableGrid"/>
        <w:tblW w:w="0" w:type="auto"/>
        <w:tblLook w:val="04A0" w:firstRow="1" w:lastRow="0" w:firstColumn="1" w:lastColumn="0" w:noHBand="0" w:noVBand="1"/>
      </w:tblPr>
      <w:tblGrid>
        <w:gridCol w:w="4508"/>
        <w:gridCol w:w="4508"/>
      </w:tblGrid>
      <w:tr w:rsidR="00E9669E" w:rsidRPr="00E9669E" w14:paraId="6AD8E94D" w14:textId="77777777" w:rsidTr="00E9669E">
        <w:tc>
          <w:tcPr>
            <w:tcW w:w="4508" w:type="dxa"/>
          </w:tcPr>
          <w:p w14:paraId="6E9BEEF6" w14:textId="0AD01303" w:rsidR="00E9669E" w:rsidRPr="00E9669E" w:rsidRDefault="00E9669E" w:rsidP="00B12988">
            <w:pPr>
              <w:pStyle w:val="NoSpacing"/>
              <w:jc w:val="center"/>
            </w:pPr>
            <w:r w:rsidRPr="00E9669E">
              <w:t>Project Name</w:t>
            </w:r>
          </w:p>
        </w:tc>
        <w:tc>
          <w:tcPr>
            <w:tcW w:w="4508" w:type="dxa"/>
          </w:tcPr>
          <w:p w14:paraId="6F2B4A93" w14:textId="2558D99B" w:rsidR="00E9669E" w:rsidRPr="00E9669E" w:rsidRDefault="004A0C15" w:rsidP="00B12988">
            <w:pPr>
              <w:pStyle w:val="NoSpacing"/>
              <w:jc w:val="center"/>
            </w:pPr>
            <w:r>
              <w:t>Op Viewpoint</w:t>
            </w:r>
          </w:p>
        </w:tc>
      </w:tr>
      <w:tr w:rsidR="00E9669E" w:rsidRPr="00E9669E" w14:paraId="12C3EC95" w14:textId="77777777" w:rsidTr="00E9669E">
        <w:tc>
          <w:tcPr>
            <w:tcW w:w="4508" w:type="dxa"/>
          </w:tcPr>
          <w:p w14:paraId="1E7B3193" w14:textId="40F25F31" w:rsidR="00E9669E" w:rsidRPr="00E9669E" w:rsidRDefault="00E9669E" w:rsidP="00B12988">
            <w:pPr>
              <w:pStyle w:val="NoSpacing"/>
              <w:jc w:val="center"/>
            </w:pPr>
            <w:r w:rsidRPr="00E9669E">
              <w:t>Senior Responsible Officer</w:t>
            </w:r>
          </w:p>
        </w:tc>
        <w:tc>
          <w:tcPr>
            <w:tcW w:w="4508" w:type="dxa"/>
          </w:tcPr>
          <w:p w14:paraId="77299EF4" w14:textId="019775C5" w:rsidR="00E9669E" w:rsidRPr="00E9669E" w:rsidRDefault="004A0C15" w:rsidP="00B12988">
            <w:pPr>
              <w:pStyle w:val="NoSpacing"/>
              <w:jc w:val="center"/>
            </w:pPr>
            <w:r>
              <w:t xml:space="preserve">Detective Ch Supt </w:t>
            </w:r>
            <w:r w:rsidR="00050885">
              <w:t xml:space="preserve">2184 </w:t>
            </w:r>
            <w:r w:rsidR="003C7267">
              <w:t>Nev Hanks</w:t>
            </w:r>
          </w:p>
        </w:tc>
      </w:tr>
      <w:tr w:rsidR="00E9669E" w:rsidRPr="00E9669E" w14:paraId="7997B5D2" w14:textId="77777777" w:rsidTr="00E9669E">
        <w:tc>
          <w:tcPr>
            <w:tcW w:w="4508" w:type="dxa"/>
          </w:tcPr>
          <w:p w14:paraId="0157C003" w14:textId="173B5F38" w:rsidR="00E9669E" w:rsidRPr="00E9669E" w:rsidRDefault="00E9669E" w:rsidP="00B12988">
            <w:pPr>
              <w:pStyle w:val="NoSpacing"/>
              <w:jc w:val="center"/>
            </w:pPr>
            <w:r w:rsidRPr="00E9669E">
              <w:t>Business Area/Department</w:t>
            </w:r>
          </w:p>
        </w:tc>
        <w:tc>
          <w:tcPr>
            <w:tcW w:w="4508" w:type="dxa"/>
          </w:tcPr>
          <w:p w14:paraId="1E6DE931" w14:textId="3DFB939A" w:rsidR="00E9669E" w:rsidRPr="00E9669E" w:rsidRDefault="00A75FBD" w:rsidP="00B12988">
            <w:pPr>
              <w:pStyle w:val="NoSpacing"/>
              <w:jc w:val="center"/>
            </w:pPr>
            <w:r>
              <w:t>Crime &amp; Intel</w:t>
            </w:r>
          </w:p>
        </w:tc>
      </w:tr>
      <w:tr w:rsidR="00E9669E" w:rsidRPr="00E9669E" w14:paraId="69A94224" w14:textId="77777777" w:rsidTr="00E9669E">
        <w:tc>
          <w:tcPr>
            <w:tcW w:w="4508" w:type="dxa"/>
          </w:tcPr>
          <w:p w14:paraId="4C272765" w14:textId="1D6999AB" w:rsidR="00E9669E" w:rsidRPr="00E9669E" w:rsidRDefault="00E9669E" w:rsidP="00B12988">
            <w:pPr>
              <w:pStyle w:val="NoSpacing"/>
              <w:jc w:val="center"/>
            </w:pPr>
            <w:r w:rsidRPr="00E9669E">
              <w:t>Proposed implementation date</w:t>
            </w:r>
          </w:p>
        </w:tc>
        <w:tc>
          <w:tcPr>
            <w:tcW w:w="4508" w:type="dxa"/>
          </w:tcPr>
          <w:p w14:paraId="151F37B8" w14:textId="4FDE67ED" w:rsidR="00E9669E" w:rsidRPr="00E9669E" w:rsidRDefault="00751B07" w:rsidP="00B12988">
            <w:pPr>
              <w:pStyle w:val="NoSpacing"/>
              <w:jc w:val="center"/>
            </w:pPr>
            <w:r>
              <w:t>1</w:t>
            </w:r>
            <w:r w:rsidR="00DF47D4">
              <w:t>9/12/202</w:t>
            </w:r>
            <w:r>
              <w:t>5</w:t>
            </w:r>
          </w:p>
        </w:tc>
      </w:tr>
    </w:tbl>
    <w:p w14:paraId="01224B4A" w14:textId="77777777" w:rsidR="00E9669E" w:rsidRDefault="00E9669E" w:rsidP="00B12988">
      <w:pPr>
        <w:pStyle w:val="NoSpacing"/>
        <w:jc w:val="center"/>
        <w:rPr>
          <w:color w:val="215E99" w:themeColor="text2" w:themeTint="BF"/>
        </w:rPr>
      </w:pPr>
    </w:p>
    <w:p w14:paraId="60426498" w14:textId="77777777" w:rsidR="00E9669E" w:rsidRDefault="00E9669E" w:rsidP="00B12988">
      <w:pPr>
        <w:pStyle w:val="NoSpacing"/>
        <w:jc w:val="center"/>
        <w:rPr>
          <w:color w:val="215E99" w:themeColor="text2" w:themeTint="BF"/>
        </w:rPr>
      </w:pPr>
    </w:p>
    <w:p w14:paraId="030CFD9E" w14:textId="246A5AF6" w:rsidR="00E9669E" w:rsidRDefault="00E9669E" w:rsidP="00E9669E">
      <w:pPr>
        <w:pStyle w:val="NoSpacing"/>
        <w:rPr>
          <w:b/>
          <w:bCs/>
          <w:sz w:val="28"/>
          <w:szCs w:val="28"/>
        </w:rPr>
      </w:pPr>
      <w:r w:rsidRPr="00E9669E">
        <w:rPr>
          <w:b/>
          <w:bCs/>
          <w:sz w:val="28"/>
          <w:szCs w:val="28"/>
        </w:rPr>
        <w:t>Change Control</w:t>
      </w:r>
      <w:r>
        <w:rPr>
          <w:b/>
          <w:bCs/>
          <w:sz w:val="28"/>
          <w:szCs w:val="28"/>
        </w:rPr>
        <w:t>:</w:t>
      </w:r>
    </w:p>
    <w:tbl>
      <w:tblPr>
        <w:tblStyle w:val="TableGrid"/>
        <w:tblW w:w="0" w:type="auto"/>
        <w:tblLook w:val="04A0" w:firstRow="1" w:lastRow="0" w:firstColumn="1" w:lastColumn="0" w:noHBand="0" w:noVBand="1"/>
      </w:tblPr>
      <w:tblGrid>
        <w:gridCol w:w="1129"/>
        <w:gridCol w:w="993"/>
        <w:gridCol w:w="1984"/>
        <w:gridCol w:w="2410"/>
        <w:gridCol w:w="2500"/>
      </w:tblGrid>
      <w:tr w:rsidR="00E9669E" w:rsidRPr="00751B07" w14:paraId="4D10A14B" w14:textId="77777777" w:rsidTr="00E9669E">
        <w:tc>
          <w:tcPr>
            <w:tcW w:w="1129" w:type="dxa"/>
            <w:shd w:val="clear" w:color="auto" w:fill="C1E4F5" w:themeFill="accent1" w:themeFillTint="33"/>
          </w:tcPr>
          <w:p w14:paraId="68D8BC27" w14:textId="2B59272A" w:rsidR="00E9669E" w:rsidRPr="00751B07" w:rsidRDefault="00E9669E" w:rsidP="00E9669E">
            <w:pPr>
              <w:pStyle w:val="NoSpacing"/>
            </w:pPr>
            <w:r w:rsidRPr="00751B07">
              <w:t>Version</w:t>
            </w:r>
          </w:p>
        </w:tc>
        <w:tc>
          <w:tcPr>
            <w:tcW w:w="993" w:type="dxa"/>
            <w:shd w:val="clear" w:color="auto" w:fill="C1E4F5" w:themeFill="accent1" w:themeFillTint="33"/>
          </w:tcPr>
          <w:p w14:paraId="5DB70413" w14:textId="3247AD1F" w:rsidR="00E9669E" w:rsidRPr="00751B07" w:rsidRDefault="00E9669E" w:rsidP="00E9669E">
            <w:pPr>
              <w:pStyle w:val="NoSpacing"/>
            </w:pPr>
            <w:r w:rsidRPr="00751B07">
              <w:t>Date</w:t>
            </w:r>
          </w:p>
        </w:tc>
        <w:tc>
          <w:tcPr>
            <w:tcW w:w="1984" w:type="dxa"/>
            <w:shd w:val="clear" w:color="auto" w:fill="C1E4F5" w:themeFill="accent1" w:themeFillTint="33"/>
          </w:tcPr>
          <w:p w14:paraId="512439EC" w14:textId="262B7A83" w:rsidR="00E9669E" w:rsidRPr="00751B07" w:rsidRDefault="00E9669E" w:rsidP="00E9669E">
            <w:pPr>
              <w:pStyle w:val="NoSpacing"/>
            </w:pPr>
            <w:r w:rsidRPr="00751B07">
              <w:t>Authority</w:t>
            </w:r>
          </w:p>
        </w:tc>
        <w:tc>
          <w:tcPr>
            <w:tcW w:w="2410" w:type="dxa"/>
            <w:shd w:val="clear" w:color="auto" w:fill="C1E4F5" w:themeFill="accent1" w:themeFillTint="33"/>
          </w:tcPr>
          <w:p w14:paraId="75CEF796" w14:textId="62DCF510" w:rsidR="00E9669E" w:rsidRPr="00751B07" w:rsidRDefault="00E9669E" w:rsidP="00E9669E">
            <w:pPr>
              <w:pStyle w:val="NoSpacing"/>
            </w:pPr>
            <w:r w:rsidRPr="00751B07">
              <w:t>Evidence of approval</w:t>
            </w:r>
          </w:p>
        </w:tc>
        <w:tc>
          <w:tcPr>
            <w:tcW w:w="2500" w:type="dxa"/>
            <w:shd w:val="clear" w:color="auto" w:fill="C1E4F5" w:themeFill="accent1" w:themeFillTint="33"/>
          </w:tcPr>
          <w:p w14:paraId="1FFD2211" w14:textId="27D2AC33" w:rsidR="00E9669E" w:rsidRPr="00751B07" w:rsidRDefault="00E9669E" w:rsidP="00E9669E">
            <w:pPr>
              <w:pStyle w:val="NoSpacing"/>
            </w:pPr>
            <w:r w:rsidRPr="00751B07">
              <w:t>Record of change</w:t>
            </w:r>
          </w:p>
        </w:tc>
      </w:tr>
      <w:tr w:rsidR="00E9669E" w14:paraId="7DDE1D16" w14:textId="77777777" w:rsidTr="00E9669E">
        <w:trPr>
          <w:trHeight w:val="850"/>
        </w:trPr>
        <w:tc>
          <w:tcPr>
            <w:tcW w:w="1129" w:type="dxa"/>
          </w:tcPr>
          <w:p w14:paraId="1208A027" w14:textId="0506B07B" w:rsidR="00E9669E" w:rsidRPr="00751B07" w:rsidRDefault="00E9669E" w:rsidP="00E9669E">
            <w:pPr>
              <w:pStyle w:val="NoSpacing"/>
              <w:rPr>
                <w:sz w:val="28"/>
                <w:szCs w:val="28"/>
              </w:rPr>
            </w:pPr>
          </w:p>
        </w:tc>
        <w:tc>
          <w:tcPr>
            <w:tcW w:w="993" w:type="dxa"/>
          </w:tcPr>
          <w:p w14:paraId="6FF4ACD7" w14:textId="77777777" w:rsidR="00E9669E" w:rsidRPr="00751B07" w:rsidRDefault="00E9669E" w:rsidP="00E9669E">
            <w:pPr>
              <w:pStyle w:val="NoSpacing"/>
              <w:rPr>
                <w:sz w:val="28"/>
                <w:szCs w:val="28"/>
              </w:rPr>
            </w:pPr>
          </w:p>
        </w:tc>
        <w:tc>
          <w:tcPr>
            <w:tcW w:w="1984" w:type="dxa"/>
          </w:tcPr>
          <w:p w14:paraId="1897A88C" w14:textId="77777777" w:rsidR="00E9669E" w:rsidRPr="00751B07" w:rsidRDefault="00E9669E" w:rsidP="00E9669E">
            <w:pPr>
              <w:pStyle w:val="NoSpacing"/>
              <w:rPr>
                <w:sz w:val="28"/>
                <w:szCs w:val="28"/>
              </w:rPr>
            </w:pPr>
          </w:p>
        </w:tc>
        <w:tc>
          <w:tcPr>
            <w:tcW w:w="2410" w:type="dxa"/>
          </w:tcPr>
          <w:p w14:paraId="0D29C0D4" w14:textId="77777777" w:rsidR="00E9669E" w:rsidRPr="00751B07" w:rsidRDefault="00E9669E" w:rsidP="00E9669E">
            <w:pPr>
              <w:pStyle w:val="NoSpacing"/>
              <w:rPr>
                <w:sz w:val="28"/>
                <w:szCs w:val="28"/>
              </w:rPr>
            </w:pPr>
          </w:p>
        </w:tc>
        <w:tc>
          <w:tcPr>
            <w:tcW w:w="2500" w:type="dxa"/>
          </w:tcPr>
          <w:p w14:paraId="15D740D0" w14:textId="77777777" w:rsidR="00E9669E" w:rsidRPr="00751B07" w:rsidRDefault="00E9669E" w:rsidP="00E9669E">
            <w:pPr>
              <w:pStyle w:val="NoSpacing"/>
              <w:rPr>
                <w:sz w:val="28"/>
                <w:szCs w:val="28"/>
              </w:rPr>
            </w:pPr>
          </w:p>
        </w:tc>
      </w:tr>
      <w:tr w:rsidR="00E9669E" w14:paraId="07D2AC36" w14:textId="77777777" w:rsidTr="00E9669E">
        <w:trPr>
          <w:trHeight w:val="989"/>
        </w:trPr>
        <w:tc>
          <w:tcPr>
            <w:tcW w:w="1129" w:type="dxa"/>
          </w:tcPr>
          <w:p w14:paraId="4D0ED7AB" w14:textId="77777777" w:rsidR="00E9669E" w:rsidRPr="00E9669E" w:rsidRDefault="00E9669E" w:rsidP="00E9669E">
            <w:pPr>
              <w:pStyle w:val="NoSpacing"/>
              <w:rPr>
                <w:sz w:val="28"/>
                <w:szCs w:val="28"/>
              </w:rPr>
            </w:pPr>
          </w:p>
        </w:tc>
        <w:tc>
          <w:tcPr>
            <w:tcW w:w="993" w:type="dxa"/>
          </w:tcPr>
          <w:p w14:paraId="4D748C91" w14:textId="77777777" w:rsidR="00E9669E" w:rsidRPr="00E9669E" w:rsidRDefault="00E9669E" w:rsidP="00E9669E">
            <w:pPr>
              <w:pStyle w:val="NoSpacing"/>
              <w:rPr>
                <w:sz w:val="28"/>
                <w:szCs w:val="28"/>
              </w:rPr>
            </w:pPr>
          </w:p>
        </w:tc>
        <w:tc>
          <w:tcPr>
            <w:tcW w:w="1984" w:type="dxa"/>
          </w:tcPr>
          <w:p w14:paraId="0B418187" w14:textId="77777777" w:rsidR="00E9669E" w:rsidRPr="00E9669E" w:rsidRDefault="00E9669E" w:rsidP="00E9669E">
            <w:pPr>
              <w:pStyle w:val="NoSpacing"/>
              <w:rPr>
                <w:sz w:val="28"/>
                <w:szCs w:val="28"/>
              </w:rPr>
            </w:pPr>
          </w:p>
        </w:tc>
        <w:tc>
          <w:tcPr>
            <w:tcW w:w="2410" w:type="dxa"/>
          </w:tcPr>
          <w:p w14:paraId="6B12CC44" w14:textId="77777777" w:rsidR="00E9669E" w:rsidRPr="00E9669E" w:rsidRDefault="00E9669E" w:rsidP="00E9669E">
            <w:pPr>
              <w:pStyle w:val="NoSpacing"/>
              <w:rPr>
                <w:sz w:val="28"/>
                <w:szCs w:val="28"/>
              </w:rPr>
            </w:pPr>
          </w:p>
        </w:tc>
        <w:tc>
          <w:tcPr>
            <w:tcW w:w="2500" w:type="dxa"/>
          </w:tcPr>
          <w:p w14:paraId="4B333DB2" w14:textId="77777777" w:rsidR="00E9669E" w:rsidRPr="00E9669E" w:rsidRDefault="00E9669E" w:rsidP="00E9669E">
            <w:pPr>
              <w:pStyle w:val="NoSpacing"/>
              <w:rPr>
                <w:sz w:val="28"/>
                <w:szCs w:val="28"/>
              </w:rPr>
            </w:pPr>
          </w:p>
        </w:tc>
      </w:tr>
    </w:tbl>
    <w:p w14:paraId="63E43A22" w14:textId="77777777" w:rsidR="00E9669E" w:rsidRDefault="00E9669E" w:rsidP="00E9669E">
      <w:pPr>
        <w:pStyle w:val="NoSpacing"/>
        <w:rPr>
          <w:b/>
          <w:bCs/>
          <w:sz w:val="28"/>
          <w:szCs w:val="28"/>
        </w:rPr>
      </w:pPr>
    </w:p>
    <w:p w14:paraId="2324B25E" w14:textId="77777777" w:rsidR="00E9669E" w:rsidRDefault="00E9669E" w:rsidP="00E9669E">
      <w:pPr>
        <w:pStyle w:val="NoSpacing"/>
        <w:rPr>
          <w:b/>
          <w:bCs/>
          <w:sz w:val="28"/>
          <w:szCs w:val="28"/>
        </w:rPr>
      </w:pPr>
    </w:p>
    <w:p w14:paraId="6C066640" w14:textId="77777777" w:rsidR="00E9669E" w:rsidRDefault="00E9669E" w:rsidP="00E9669E">
      <w:pPr>
        <w:pStyle w:val="NoSpacing"/>
        <w:rPr>
          <w:b/>
          <w:bCs/>
          <w:sz w:val="28"/>
          <w:szCs w:val="28"/>
        </w:rPr>
      </w:pPr>
    </w:p>
    <w:p w14:paraId="6E95E18A" w14:textId="77777777" w:rsidR="00E9669E" w:rsidRDefault="00E9669E" w:rsidP="00E9669E">
      <w:pPr>
        <w:pStyle w:val="NoSpacing"/>
        <w:rPr>
          <w:b/>
          <w:bCs/>
          <w:sz w:val="28"/>
          <w:szCs w:val="28"/>
        </w:rPr>
      </w:pPr>
    </w:p>
    <w:sdt>
      <w:sdtPr>
        <w:rPr>
          <w:kern w:val="2"/>
          <w:sz w:val="40"/>
          <w:szCs w:val="40"/>
          <w:lang w:eastAsia="en-US"/>
          <w14:ligatures w14:val="standardContextual"/>
        </w:rPr>
        <w:id w:val="-708489909"/>
        <w:docPartObj>
          <w:docPartGallery w:val="Table of Contents"/>
          <w:docPartUnique/>
        </w:docPartObj>
      </w:sdtPr>
      <w:sdtEndPr/>
      <w:sdtContent>
        <w:p w14:paraId="3051E927" w14:textId="42AFBC99" w:rsidR="00E9669E" w:rsidRDefault="00E9669E">
          <w:pPr>
            <w:pStyle w:val="TOCHeading"/>
          </w:pPr>
          <w:r>
            <w:t>Contents</w:t>
          </w:r>
        </w:p>
        <w:p w14:paraId="2C2D9605" w14:textId="5C4423A0" w:rsidR="00692A3F" w:rsidRDefault="00E9669E">
          <w:pPr>
            <w:pStyle w:val="TOC1"/>
            <w:tabs>
              <w:tab w:val="left" w:pos="480"/>
              <w:tab w:val="right" w:leader="dot" w:pos="9016"/>
            </w:tabs>
            <w:rPr>
              <w:rFonts w:eastAsiaTheme="minorEastAsia"/>
              <w:noProof/>
              <w:lang w:eastAsia="en-GB"/>
            </w:rPr>
          </w:pPr>
          <w:r>
            <w:fldChar w:fldCharType="begin"/>
          </w:r>
          <w:r>
            <w:instrText xml:space="preserve"> TOC \o "1-3" \h \z \u </w:instrText>
          </w:r>
          <w:r>
            <w:fldChar w:fldCharType="separate"/>
          </w:r>
          <w:hyperlink w:anchor="_Toc216180218" w:history="1">
            <w:r w:rsidR="00692A3F" w:rsidRPr="0039250F">
              <w:rPr>
                <w:rStyle w:val="Hyperlink"/>
                <w:noProof/>
              </w:rPr>
              <w:t>1</w:t>
            </w:r>
            <w:r w:rsidR="00692A3F">
              <w:rPr>
                <w:rFonts w:eastAsiaTheme="minorEastAsia"/>
                <w:noProof/>
                <w:lang w:eastAsia="en-GB"/>
              </w:rPr>
              <w:tab/>
            </w:r>
            <w:r w:rsidR="00692A3F" w:rsidRPr="0039250F">
              <w:rPr>
                <w:rStyle w:val="Hyperlink"/>
                <w:noProof/>
              </w:rPr>
              <w:t>Introduction</w:t>
            </w:r>
            <w:r w:rsidR="00692A3F">
              <w:rPr>
                <w:noProof/>
                <w:webHidden/>
              </w:rPr>
              <w:tab/>
            </w:r>
            <w:r w:rsidR="00692A3F">
              <w:rPr>
                <w:noProof/>
                <w:webHidden/>
              </w:rPr>
              <w:fldChar w:fldCharType="begin"/>
            </w:r>
            <w:r w:rsidR="00692A3F">
              <w:rPr>
                <w:noProof/>
                <w:webHidden/>
              </w:rPr>
              <w:instrText xml:space="preserve"> PAGEREF _Toc216180218 \h </w:instrText>
            </w:r>
            <w:r w:rsidR="00692A3F">
              <w:rPr>
                <w:noProof/>
                <w:webHidden/>
              </w:rPr>
            </w:r>
            <w:r w:rsidR="00692A3F">
              <w:rPr>
                <w:noProof/>
                <w:webHidden/>
              </w:rPr>
              <w:fldChar w:fldCharType="separate"/>
            </w:r>
            <w:r w:rsidR="00692A3F">
              <w:rPr>
                <w:noProof/>
                <w:webHidden/>
              </w:rPr>
              <w:t>3</w:t>
            </w:r>
            <w:r w:rsidR="00692A3F">
              <w:rPr>
                <w:noProof/>
                <w:webHidden/>
              </w:rPr>
              <w:fldChar w:fldCharType="end"/>
            </w:r>
          </w:hyperlink>
        </w:p>
        <w:p w14:paraId="6BE0FD47" w14:textId="4C4EEAFD" w:rsidR="00692A3F" w:rsidRDefault="00692A3F">
          <w:pPr>
            <w:pStyle w:val="TOC1"/>
            <w:tabs>
              <w:tab w:val="left" w:pos="480"/>
              <w:tab w:val="right" w:leader="dot" w:pos="9016"/>
            </w:tabs>
            <w:rPr>
              <w:rFonts w:eastAsiaTheme="minorEastAsia"/>
              <w:noProof/>
              <w:lang w:eastAsia="en-GB"/>
            </w:rPr>
          </w:pPr>
          <w:hyperlink w:anchor="_Toc216180219" w:history="1">
            <w:r w:rsidRPr="0039250F">
              <w:rPr>
                <w:rStyle w:val="Hyperlink"/>
                <w:noProof/>
              </w:rPr>
              <w:t>2</w:t>
            </w:r>
            <w:r>
              <w:rPr>
                <w:rFonts w:eastAsiaTheme="minorEastAsia"/>
                <w:noProof/>
                <w:lang w:eastAsia="en-GB"/>
              </w:rPr>
              <w:tab/>
            </w:r>
            <w:r w:rsidRPr="0039250F">
              <w:rPr>
                <w:rStyle w:val="Hyperlink"/>
                <w:noProof/>
              </w:rPr>
              <w:t>Common Law</w:t>
            </w:r>
            <w:r>
              <w:rPr>
                <w:noProof/>
                <w:webHidden/>
              </w:rPr>
              <w:tab/>
            </w:r>
            <w:r>
              <w:rPr>
                <w:noProof/>
                <w:webHidden/>
              </w:rPr>
              <w:fldChar w:fldCharType="begin"/>
            </w:r>
            <w:r>
              <w:rPr>
                <w:noProof/>
                <w:webHidden/>
              </w:rPr>
              <w:instrText xml:space="preserve"> PAGEREF _Toc216180219 \h </w:instrText>
            </w:r>
            <w:r>
              <w:rPr>
                <w:noProof/>
                <w:webHidden/>
              </w:rPr>
            </w:r>
            <w:r>
              <w:rPr>
                <w:noProof/>
                <w:webHidden/>
              </w:rPr>
              <w:fldChar w:fldCharType="separate"/>
            </w:r>
            <w:r>
              <w:rPr>
                <w:noProof/>
                <w:webHidden/>
              </w:rPr>
              <w:t>4</w:t>
            </w:r>
            <w:r>
              <w:rPr>
                <w:noProof/>
                <w:webHidden/>
              </w:rPr>
              <w:fldChar w:fldCharType="end"/>
            </w:r>
          </w:hyperlink>
        </w:p>
        <w:p w14:paraId="3161873A" w14:textId="4666FDE4" w:rsidR="00692A3F" w:rsidRDefault="00692A3F">
          <w:pPr>
            <w:pStyle w:val="TOC1"/>
            <w:tabs>
              <w:tab w:val="left" w:pos="480"/>
              <w:tab w:val="right" w:leader="dot" w:pos="9016"/>
            </w:tabs>
            <w:rPr>
              <w:rFonts w:eastAsiaTheme="minorEastAsia"/>
              <w:noProof/>
              <w:lang w:eastAsia="en-GB"/>
            </w:rPr>
          </w:pPr>
          <w:hyperlink w:anchor="_Toc216180220" w:history="1">
            <w:r w:rsidRPr="0039250F">
              <w:rPr>
                <w:rStyle w:val="Hyperlink"/>
                <w:noProof/>
              </w:rPr>
              <w:t>3</w:t>
            </w:r>
            <w:r>
              <w:rPr>
                <w:rFonts w:eastAsiaTheme="minorEastAsia"/>
                <w:noProof/>
                <w:lang w:eastAsia="en-GB"/>
              </w:rPr>
              <w:tab/>
            </w:r>
            <w:r w:rsidRPr="0039250F">
              <w:rPr>
                <w:rStyle w:val="Hyperlink"/>
                <w:noProof/>
              </w:rPr>
              <w:t>Police and Criminal Evidence Act 1984</w:t>
            </w:r>
            <w:r>
              <w:rPr>
                <w:noProof/>
                <w:webHidden/>
              </w:rPr>
              <w:tab/>
            </w:r>
            <w:r>
              <w:rPr>
                <w:noProof/>
                <w:webHidden/>
              </w:rPr>
              <w:fldChar w:fldCharType="begin"/>
            </w:r>
            <w:r>
              <w:rPr>
                <w:noProof/>
                <w:webHidden/>
              </w:rPr>
              <w:instrText xml:space="preserve"> PAGEREF _Toc216180220 \h </w:instrText>
            </w:r>
            <w:r>
              <w:rPr>
                <w:noProof/>
                <w:webHidden/>
              </w:rPr>
            </w:r>
            <w:r>
              <w:rPr>
                <w:noProof/>
                <w:webHidden/>
              </w:rPr>
              <w:fldChar w:fldCharType="separate"/>
            </w:r>
            <w:r>
              <w:rPr>
                <w:noProof/>
                <w:webHidden/>
              </w:rPr>
              <w:t>5</w:t>
            </w:r>
            <w:r>
              <w:rPr>
                <w:noProof/>
                <w:webHidden/>
              </w:rPr>
              <w:fldChar w:fldCharType="end"/>
            </w:r>
          </w:hyperlink>
        </w:p>
        <w:p w14:paraId="058D8E6C" w14:textId="077016B2" w:rsidR="00692A3F" w:rsidRDefault="00692A3F">
          <w:pPr>
            <w:pStyle w:val="TOC1"/>
            <w:tabs>
              <w:tab w:val="left" w:pos="480"/>
              <w:tab w:val="right" w:leader="dot" w:pos="9016"/>
            </w:tabs>
            <w:rPr>
              <w:rFonts w:eastAsiaTheme="minorEastAsia"/>
              <w:noProof/>
              <w:lang w:eastAsia="en-GB"/>
            </w:rPr>
          </w:pPr>
          <w:hyperlink w:anchor="_Toc216180221" w:history="1">
            <w:r w:rsidRPr="0039250F">
              <w:rPr>
                <w:rStyle w:val="Hyperlink"/>
                <w:noProof/>
              </w:rPr>
              <w:t>4</w:t>
            </w:r>
            <w:r>
              <w:rPr>
                <w:rFonts w:eastAsiaTheme="minorEastAsia"/>
                <w:noProof/>
                <w:lang w:eastAsia="en-GB"/>
              </w:rPr>
              <w:tab/>
            </w:r>
            <w:r w:rsidRPr="0039250F">
              <w:rPr>
                <w:rStyle w:val="Hyperlink"/>
                <w:noProof/>
              </w:rPr>
              <w:t>Human Rights Act 1998</w:t>
            </w:r>
            <w:r>
              <w:rPr>
                <w:noProof/>
                <w:webHidden/>
              </w:rPr>
              <w:tab/>
            </w:r>
            <w:r>
              <w:rPr>
                <w:noProof/>
                <w:webHidden/>
              </w:rPr>
              <w:fldChar w:fldCharType="begin"/>
            </w:r>
            <w:r>
              <w:rPr>
                <w:noProof/>
                <w:webHidden/>
              </w:rPr>
              <w:instrText xml:space="preserve"> PAGEREF _Toc216180221 \h </w:instrText>
            </w:r>
            <w:r>
              <w:rPr>
                <w:noProof/>
                <w:webHidden/>
              </w:rPr>
            </w:r>
            <w:r>
              <w:rPr>
                <w:noProof/>
                <w:webHidden/>
              </w:rPr>
              <w:fldChar w:fldCharType="separate"/>
            </w:r>
            <w:r>
              <w:rPr>
                <w:noProof/>
                <w:webHidden/>
              </w:rPr>
              <w:t>5</w:t>
            </w:r>
            <w:r>
              <w:rPr>
                <w:noProof/>
                <w:webHidden/>
              </w:rPr>
              <w:fldChar w:fldCharType="end"/>
            </w:r>
          </w:hyperlink>
        </w:p>
        <w:p w14:paraId="229D6A40" w14:textId="51276507" w:rsidR="00692A3F" w:rsidRDefault="00692A3F">
          <w:pPr>
            <w:pStyle w:val="TOC1"/>
            <w:tabs>
              <w:tab w:val="left" w:pos="480"/>
              <w:tab w:val="right" w:leader="dot" w:pos="9016"/>
            </w:tabs>
            <w:rPr>
              <w:rFonts w:eastAsiaTheme="minorEastAsia"/>
              <w:noProof/>
              <w:lang w:eastAsia="en-GB"/>
            </w:rPr>
          </w:pPr>
          <w:hyperlink w:anchor="_Toc216180222" w:history="1">
            <w:r w:rsidRPr="0039250F">
              <w:rPr>
                <w:rStyle w:val="Hyperlink"/>
                <w:noProof/>
              </w:rPr>
              <w:t>5</w:t>
            </w:r>
            <w:r>
              <w:rPr>
                <w:rFonts w:eastAsiaTheme="minorEastAsia"/>
                <w:noProof/>
                <w:lang w:eastAsia="en-GB"/>
              </w:rPr>
              <w:tab/>
            </w:r>
            <w:r w:rsidRPr="0039250F">
              <w:rPr>
                <w:rStyle w:val="Hyperlink"/>
                <w:noProof/>
              </w:rPr>
              <w:t>Equality Act 2010</w:t>
            </w:r>
            <w:r>
              <w:rPr>
                <w:noProof/>
                <w:webHidden/>
              </w:rPr>
              <w:tab/>
            </w:r>
            <w:r>
              <w:rPr>
                <w:noProof/>
                <w:webHidden/>
              </w:rPr>
              <w:fldChar w:fldCharType="begin"/>
            </w:r>
            <w:r>
              <w:rPr>
                <w:noProof/>
                <w:webHidden/>
              </w:rPr>
              <w:instrText xml:space="preserve"> PAGEREF _Toc216180222 \h </w:instrText>
            </w:r>
            <w:r>
              <w:rPr>
                <w:noProof/>
                <w:webHidden/>
              </w:rPr>
            </w:r>
            <w:r>
              <w:rPr>
                <w:noProof/>
                <w:webHidden/>
              </w:rPr>
              <w:fldChar w:fldCharType="separate"/>
            </w:r>
            <w:r>
              <w:rPr>
                <w:noProof/>
                <w:webHidden/>
              </w:rPr>
              <w:t>16</w:t>
            </w:r>
            <w:r>
              <w:rPr>
                <w:noProof/>
                <w:webHidden/>
              </w:rPr>
              <w:fldChar w:fldCharType="end"/>
            </w:r>
          </w:hyperlink>
        </w:p>
        <w:p w14:paraId="0C01E8C1" w14:textId="2707E512" w:rsidR="00692A3F" w:rsidRDefault="00692A3F">
          <w:pPr>
            <w:pStyle w:val="TOC1"/>
            <w:tabs>
              <w:tab w:val="left" w:pos="480"/>
              <w:tab w:val="right" w:leader="dot" w:pos="9016"/>
            </w:tabs>
            <w:rPr>
              <w:rFonts w:eastAsiaTheme="minorEastAsia"/>
              <w:noProof/>
              <w:lang w:eastAsia="en-GB"/>
            </w:rPr>
          </w:pPr>
          <w:hyperlink w:anchor="_Toc216180223" w:history="1">
            <w:r w:rsidRPr="0039250F">
              <w:rPr>
                <w:rStyle w:val="Hyperlink"/>
                <w:noProof/>
              </w:rPr>
              <w:t>6</w:t>
            </w:r>
            <w:r>
              <w:rPr>
                <w:rFonts w:eastAsiaTheme="minorEastAsia"/>
                <w:noProof/>
                <w:lang w:eastAsia="en-GB"/>
              </w:rPr>
              <w:tab/>
            </w:r>
            <w:r w:rsidRPr="0039250F">
              <w:rPr>
                <w:rStyle w:val="Hyperlink"/>
                <w:noProof/>
              </w:rPr>
              <w:t>Data Protection Act 2018</w:t>
            </w:r>
            <w:r>
              <w:rPr>
                <w:noProof/>
                <w:webHidden/>
              </w:rPr>
              <w:tab/>
            </w:r>
            <w:r>
              <w:rPr>
                <w:noProof/>
                <w:webHidden/>
              </w:rPr>
              <w:fldChar w:fldCharType="begin"/>
            </w:r>
            <w:r>
              <w:rPr>
                <w:noProof/>
                <w:webHidden/>
              </w:rPr>
              <w:instrText xml:space="preserve"> PAGEREF _Toc216180223 \h </w:instrText>
            </w:r>
            <w:r>
              <w:rPr>
                <w:noProof/>
                <w:webHidden/>
              </w:rPr>
            </w:r>
            <w:r>
              <w:rPr>
                <w:noProof/>
                <w:webHidden/>
              </w:rPr>
              <w:fldChar w:fldCharType="separate"/>
            </w:r>
            <w:r>
              <w:rPr>
                <w:noProof/>
                <w:webHidden/>
              </w:rPr>
              <w:t>17</w:t>
            </w:r>
            <w:r>
              <w:rPr>
                <w:noProof/>
                <w:webHidden/>
              </w:rPr>
              <w:fldChar w:fldCharType="end"/>
            </w:r>
          </w:hyperlink>
        </w:p>
        <w:p w14:paraId="404ADCE0" w14:textId="0EC23279" w:rsidR="00692A3F" w:rsidRDefault="00692A3F">
          <w:pPr>
            <w:pStyle w:val="TOC1"/>
            <w:tabs>
              <w:tab w:val="left" w:pos="480"/>
              <w:tab w:val="right" w:leader="dot" w:pos="9016"/>
            </w:tabs>
            <w:rPr>
              <w:rFonts w:eastAsiaTheme="minorEastAsia"/>
              <w:noProof/>
              <w:lang w:eastAsia="en-GB"/>
            </w:rPr>
          </w:pPr>
          <w:hyperlink w:anchor="_Toc216180224" w:history="1">
            <w:r w:rsidRPr="0039250F">
              <w:rPr>
                <w:rStyle w:val="Hyperlink"/>
                <w:noProof/>
              </w:rPr>
              <w:t>7</w:t>
            </w:r>
            <w:r>
              <w:rPr>
                <w:rFonts w:eastAsiaTheme="minorEastAsia"/>
                <w:noProof/>
                <w:lang w:eastAsia="en-GB"/>
              </w:rPr>
              <w:tab/>
            </w:r>
            <w:r w:rsidRPr="0039250F">
              <w:rPr>
                <w:rStyle w:val="Hyperlink"/>
                <w:noProof/>
              </w:rPr>
              <w:t>General Data Protection Regulation</w:t>
            </w:r>
            <w:r>
              <w:rPr>
                <w:noProof/>
                <w:webHidden/>
              </w:rPr>
              <w:tab/>
            </w:r>
            <w:r>
              <w:rPr>
                <w:noProof/>
                <w:webHidden/>
              </w:rPr>
              <w:fldChar w:fldCharType="begin"/>
            </w:r>
            <w:r>
              <w:rPr>
                <w:noProof/>
                <w:webHidden/>
              </w:rPr>
              <w:instrText xml:space="preserve"> PAGEREF _Toc216180224 \h </w:instrText>
            </w:r>
            <w:r>
              <w:rPr>
                <w:noProof/>
                <w:webHidden/>
              </w:rPr>
            </w:r>
            <w:r>
              <w:rPr>
                <w:noProof/>
                <w:webHidden/>
              </w:rPr>
              <w:fldChar w:fldCharType="separate"/>
            </w:r>
            <w:r>
              <w:rPr>
                <w:noProof/>
                <w:webHidden/>
              </w:rPr>
              <w:t>20</w:t>
            </w:r>
            <w:r>
              <w:rPr>
                <w:noProof/>
                <w:webHidden/>
              </w:rPr>
              <w:fldChar w:fldCharType="end"/>
            </w:r>
          </w:hyperlink>
        </w:p>
        <w:p w14:paraId="13085006" w14:textId="4A63AD3D" w:rsidR="00692A3F" w:rsidRDefault="00692A3F">
          <w:pPr>
            <w:pStyle w:val="TOC1"/>
            <w:tabs>
              <w:tab w:val="left" w:pos="480"/>
              <w:tab w:val="right" w:leader="dot" w:pos="9016"/>
            </w:tabs>
            <w:rPr>
              <w:rFonts w:eastAsiaTheme="minorEastAsia"/>
              <w:noProof/>
              <w:lang w:eastAsia="en-GB"/>
            </w:rPr>
          </w:pPr>
          <w:hyperlink w:anchor="_Toc216180225" w:history="1">
            <w:r w:rsidRPr="0039250F">
              <w:rPr>
                <w:rStyle w:val="Hyperlink"/>
                <w:noProof/>
              </w:rPr>
              <w:t>8</w:t>
            </w:r>
            <w:r>
              <w:rPr>
                <w:rFonts w:eastAsiaTheme="minorEastAsia"/>
                <w:noProof/>
                <w:lang w:eastAsia="en-GB"/>
              </w:rPr>
              <w:tab/>
            </w:r>
            <w:r w:rsidRPr="0039250F">
              <w:rPr>
                <w:rStyle w:val="Hyperlink"/>
                <w:noProof/>
              </w:rPr>
              <w:t>Protection of Freedoms Act 2012</w:t>
            </w:r>
            <w:r>
              <w:rPr>
                <w:noProof/>
                <w:webHidden/>
              </w:rPr>
              <w:tab/>
            </w:r>
            <w:r>
              <w:rPr>
                <w:noProof/>
                <w:webHidden/>
              </w:rPr>
              <w:fldChar w:fldCharType="begin"/>
            </w:r>
            <w:r>
              <w:rPr>
                <w:noProof/>
                <w:webHidden/>
              </w:rPr>
              <w:instrText xml:space="preserve"> PAGEREF _Toc216180225 \h </w:instrText>
            </w:r>
            <w:r>
              <w:rPr>
                <w:noProof/>
                <w:webHidden/>
              </w:rPr>
            </w:r>
            <w:r>
              <w:rPr>
                <w:noProof/>
                <w:webHidden/>
              </w:rPr>
              <w:fldChar w:fldCharType="separate"/>
            </w:r>
            <w:r>
              <w:rPr>
                <w:noProof/>
                <w:webHidden/>
              </w:rPr>
              <w:t>21</w:t>
            </w:r>
            <w:r>
              <w:rPr>
                <w:noProof/>
                <w:webHidden/>
              </w:rPr>
              <w:fldChar w:fldCharType="end"/>
            </w:r>
          </w:hyperlink>
        </w:p>
        <w:p w14:paraId="40F2B711" w14:textId="4A660DE4" w:rsidR="00692A3F" w:rsidRDefault="00692A3F">
          <w:pPr>
            <w:pStyle w:val="TOC1"/>
            <w:tabs>
              <w:tab w:val="left" w:pos="480"/>
              <w:tab w:val="right" w:leader="dot" w:pos="9016"/>
            </w:tabs>
            <w:rPr>
              <w:rFonts w:eastAsiaTheme="minorEastAsia"/>
              <w:noProof/>
              <w:lang w:eastAsia="en-GB"/>
            </w:rPr>
          </w:pPr>
          <w:hyperlink w:anchor="_Toc216180226" w:history="1">
            <w:r w:rsidRPr="0039250F">
              <w:rPr>
                <w:rStyle w:val="Hyperlink"/>
                <w:noProof/>
              </w:rPr>
              <w:t>9</w:t>
            </w:r>
            <w:r>
              <w:rPr>
                <w:rFonts w:eastAsiaTheme="minorEastAsia"/>
                <w:noProof/>
                <w:lang w:eastAsia="en-GB"/>
              </w:rPr>
              <w:tab/>
            </w:r>
            <w:r w:rsidRPr="0039250F">
              <w:rPr>
                <w:rStyle w:val="Hyperlink"/>
                <w:noProof/>
              </w:rPr>
              <w:t>Freedom of Information Act 2000</w:t>
            </w:r>
            <w:r>
              <w:rPr>
                <w:noProof/>
                <w:webHidden/>
              </w:rPr>
              <w:tab/>
            </w:r>
            <w:r>
              <w:rPr>
                <w:noProof/>
                <w:webHidden/>
              </w:rPr>
              <w:fldChar w:fldCharType="begin"/>
            </w:r>
            <w:r>
              <w:rPr>
                <w:noProof/>
                <w:webHidden/>
              </w:rPr>
              <w:instrText xml:space="preserve"> PAGEREF _Toc216180226 \h </w:instrText>
            </w:r>
            <w:r>
              <w:rPr>
                <w:noProof/>
                <w:webHidden/>
              </w:rPr>
            </w:r>
            <w:r>
              <w:rPr>
                <w:noProof/>
                <w:webHidden/>
              </w:rPr>
              <w:fldChar w:fldCharType="separate"/>
            </w:r>
            <w:r>
              <w:rPr>
                <w:noProof/>
                <w:webHidden/>
              </w:rPr>
              <w:t>22</w:t>
            </w:r>
            <w:r>
              <w:rPr>
                <w:noProof/>
                <w:webHidden/>
              </w:rPr>
              <w:fldChar w:fldCharType="end"/>
            </w:r>
          </w:hyperlink>
        </w:p>
        <w:p w14:paraId="3A65EC8E" w14:textId="6CF8FEDB" w:rsidR="00692A3F" w:rsidRDefault="00692A3F">
          <w:pPr>
            <w:pStyle w:val="TOC1"/>
            <w:tabs>
              <w:tab w:val="left" w:pos="720"/>
              <w:tab w:val="right" w:leader="dot" w:pos="9016"/>
            </w:tabs>
            <w:rPr>
              <w:rFonts w:eastAsiaTheme="minorEastAsia"/>
              <w:noProof/>
              <w:lang w:eastAsia="en-GB"/>
            </w:rPr>
          </w:pPr>
          <w:hyperlink w:anchor="_Toc216180227" w:history="1">
            <w:r w:rsidRPr="0039250F">
              <w:rPr>
                <w:rStyle w:val="Hyperlink"/>
                <w:noProof/>
              </w:rPr>
              <w:t>10</w:t>
            </w:r>
            <w:r>
              <w:rPr>
                <w:rFonts w:eastAsiaTheme="minorEastAsia"/>
                <w:noProof/>
                <w:lang w:eastAsia="en-GB"/>
              </w:rPr>
              <w:tab/>
            </w:r>
            <w:r w:rsidRPr="0039250F">
              <w:rPr>
                <w:rStyle w:val="Hyperlink"/>
                <w:noProof/>
              </w:rPr>
              <w:t>Legal Framework and Governance Overview</w:t>
            </w:r>
            <w:r>
              <w:rPr>
                <w:noProof/>
                <w:webHidden/>
              </w:rPr>
              <w:tab/>
            </w:r>
            <w:r>
              <w:rPr>
                <w:noProof/>
                <w:webHidden/>
              </w:rPr>
              <w:fldChar w:fldCharType="begin"/>
            </w:r>
            <w:r>
              <w:rPr>
                <w:noProof/>
                <w:webHidden/>
              </w:rPr>
              <w:instrText xml:space="preserve"> PAGEREF _Toc216180227 \h </w:instrText>
            </w:r>
            <w:r>
              <w:rPr>
                <w:noProof/>
                <w:webHidden/>
              </w:rPr>
            </w:r>
            <w:r>
              <w:rPr>
                <w:noProof/>
                <w:webHidden/>
              </w:rPr>
              <w:fldChar w:fldCharType="separate"/>
            </w:r>
            <w:r>
              <w:rPr>
                <w:noProof/>
                <w:webHidden/>
              </w:rPr>
              <w:t>23</w:t>
            </w:r>
            <w:r>
              <w:rPr>
                <w:noProof/>
                <w:webHidden/>
              </w:rPr>
              <w:fldChar w:fldCharType="end"/>
            </w:r>
          </w:hyperlink>
        </w:p>
        <w:p w14:paraId="00A33EE0" w14:textId="7330D435" w:rsidR="00E9669E" w:rsidRDefault="00E9669E" w:rsidP="00963753">
          <w:pPr>
            <w:pStyle w:val="Heading1"/>
          </w:pPr>
          <w:r>
            <w:fldChar w:fldCharType="end"/>
          </w:r>
        </w:p>
      </w:sdtContent>
    </w:sdt>
    <w:p w14:paraId="7B67AD49" w14:textId="77777777" w:rsidR="00963753" w:rsidRDefault="00963753" w:rsidP="00963753"/>
    <w:p w14:paraId="7F02B956" w14:textId="77777777" w:rsidR="00963753" w:rsidRDefault="00963753" w:rsidP="00963753"/>
    <w:p w14:paraId="0B51DD5F" w14:textId="77777777" w:rsidR="00963753" w:rsidRDefault="00963753" w:rsidP="00963753"/>
    <w:p w14:paraId="2C159A5D" w14:textId="77777777" w:rsidR="00963753" w:rsidRDefault="00963753" w:rsidP="00963753"/>
    <w:p w14:paraId="639A1814" w14:textId="77777777" w:rsidR="00963753" w:rsidRDefault="00963753" w:rsidP="00963753"/>
    <w:p w14:paraId="2DF379FC" w14:textId="77777777" w:rsidR="00963753" w:rsidRDefault="00963753" w:rsidP="00963753"/>
    <w:p w14:paraId="1999A52B" w14:textId="77777777" w:rsidR="00963753" w:rsidRDefault="00963753" w:rsidP="00963753"/>
    <w:p w14:paraId="6D2D00C9" w14:textId="77777777" w:rsidR="00963753" w:rsidRDefault="00963753" w:rsidP="00963753"/>
    <w:p w14:paraId="4E280810" w14:textId="77777777" w:rsidR="00963753" w:rsidRDefault="00963753" w:rsidP="00963753"/>
    <w:p w14:paraId="15D049CF" w14:textId="77777777" w:rsidR="00963753" w:rsidRDefault="00963753" w:rsidP="00963753"/>
    <w:p w14:paraId="56D7CFB9" w14:textId="77777777" w:rsidR="00963753" w:rsidRDefault="00963753" w:rsidP="00963753"/>
    <w:p w14:paraId="742FFD07" w14:textId="77777777" w:rsidR="00963753" w:rsidRDefault="00963753" w:rsidP="00963753"/>
    <w:p w14:paraId="18C28E00" w14:textId="647852A0" w:rsidR="00963753" w:rsidRDefault="00EC120E" w:rsidP="00963753">
      <w:r w:rsidRPr="00366213">
        <w:rPr>
          <w:rFonts w:ascii="Arial" w:hAnsi="Arial" w:cs="Arial"/>
          <w:b/>
          <w:i/>
          <w:noProof/>
          <w:sz w:val="20"/>
        </w:rPr>
        <mc:AlternateContent>
          <mc:Choice Requires="wps">
            <w:drawing>
              <wp:anchor distT="0" distB="0" distL="114300" distR="114300" simplePos="0" relativeHeight="251650560" behindDoc="0" locked="0" layoutInCell="1" allowOverlap="1" wp14:anchorId="2794B6C5" wp14:editId="4C5BF0A9">
                <wp:simplePos x="0" y="0"/>
                <wp:positionH relativeFrom="margin">
                  <wp:align>left</wp:align>
                </wp:positionH>
                <wp:positionV relativeFrom="paragraph">
                  <wp:posOffset>426085</wp:posOffset>
                </wp:positionV>
                <wp:extent cx="5617845" cy="970280"/>
                <wp:effectExtent l="0" t="0" r="20955" b="20320"/>
                <wp:wrapSquare wrapText="bothSides"/>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7845" cy="970280"/>
                        </a:xfrm>
                        <a:prstGeom prst="rect">
                          <a:avLst/>
                        </a:prstGeom>
                        <a:ln w="6108">
                          <a:solidFill>
                            <a:srgbClr val="000000"/>
                          </a:solidFill>
                          <a:prstDash val="solid"/>
                        </a:ln>
                      </wps:spPr>
                      <wps:txbx>
                        <w:txbxContent>
                          <w:p w14:paraId="07273C42" w14:textId="77777777" w:rsidR="00D95EB6" w:rsidRPr="00D95EB6" w:rsidRDefault="00D95EB6" w:rsidP="00D95EB6">
                            <w:pPr>
                              <w:spacing w:before="239" w:line="256" w:lineRule="auto"/>
                              <w:ind w:left="273" w:right="390"/>
                              <w:jc w:val="center"/>
                              <w:rPr>
                                <w:b/>
                                <w:sz w:val="22"/>
                                <w:szCs w:val="22"/>
                              </w:rPr>
                            </w:pPr>
                            <w:r w:rsidRPr="00D95EB6">
                              <w:rPr>
                                <w:b/>
                                <w:sz w:val="22"/>
                                <w:szCs w:val="22"/>
                              </w:rPr>
                              <w:t>Terms</w:t>
                            </w:r>
                            <w:r w:rsidRPr="00D95EB6">
                              <w:rPr>
                                <w:b/>
                                <w:spacing w:val="-1"/>
                                <w:sz w:val="22"/>
                                <w:szCs w:val="22"/>
                              </w:rPr>
                              <w:t xml:space="preserve"> </w:t>
                            </w:r>
                            <w:r w:rsidRPr="00D95EB6">
                              <w:rPr>
                                <w:b/>
                                <w:sz w:val="22"/>
                                <w:szCs w:val="22"/>
                              </w:rPr>
                              <w:t>&amp;</w:t>
                            </w:r>
                            <w:r w:rsidRPr="00D95EB6">
                              <w:rPr>
                                <w:b/>
                                <w:spacing w:val="-4"/>
                                <w:sz w:val="22"/>
                                <w:szCs w:val="22"/>
                              </w:rPr>
                              <w:t xml:space="preserve"> </w:t>
                            </w:r>
                            <w:r w:rsidRPr="00D95EB6">
                              <w:rPr>
                                <w:b/>
                                <w:sz w:val="22"/>
                                <w:szCs w:val="22"/>
                              </w:rPr>
                              <w:t>Definitions:</w:t>
                            </w:r>
                            <w:r w:rsidRPr="00D95EB6">
                              <w:rPr>
                                <w:b/>
                                <w:spacing w:val="-5"/>
                                <w:sz w:val="22"/>
                                <w:szCs w:val="22"/>
                              </w:rPr>
                              <w:t xml:space="preserve"> </w:t>
                            </w:r>
                            <w:r w:rsidRPr="00D95EB6">
                              <w:rPr>
                                <w:b/>
                                <w:sz w:val="22"/>
                                <w:szCs w:val="22"/>
                              </w:rPr>
                              <w:t>Capitalised</w:t>
                            </w:r>
                            <w:r w:rsidRPr="00D95EB6">
                              <w:rPr>
                                <w:b/>
                                <w:spacing w:val="-3"/>
                                <w:sz w:val="22"/>
                                <w:szCs w:val="22"/>
                              </w:rPr>
                              <w:t xml:space="preserve"> </w:t>
                            </w:r>
                            <w:r w:rsidRPr="00D95EB6">
                              <w:rPr>
                                <w:b/>
                                <w:sz w:val="22"/>
                                <w:szCs w:val="22"/>
                              </w:rPr>
                              <w:t>terms</w:t>
                            </w:r>
                            <w:r w:rsidRPr="00D95EB6">
                              <w:rPr>
                                <w:b/>
                                <w:spacing w:val="-4"/>
                                <w:sz w:val="22"/>
                                <w:szCs w:val="22"/>
                              </w:rPr>
                              <w:t xml:space="preserve"> </w:t>
                            </w:r>
                            <w:r w:rsidRPr="00D95EB6">
                              <w:rPr>
                                <w:b/>
                                <w:sz w:val="22"/>
                                <w:szCs w:val="22"/>
                              </w:rPr>
                              <w:t>used</w:t>
                            </w:r>
                            <w:r w:rsidRPr="00D95EB6">
                              <w:rPr>
                                <w:b/>
                                <w:spacing w:val="-3"/>
                                <w:sz w:val="22"/>
                                <w:szCs w:val="22"/>
                              </w:rPr>
                              <w:t xml:space="preserve"> </w:t>
                            </w:r>
                            <w:r w:rsidRPr="00D95EB6">
                              <w:rPr>
                                <w:b/>
                                <w:sz w:val="22"/>
                                <w:szCs w:val="22"/>
                              </w:rPr>
                              <w:t>in</w:t>
                            </w:r>
                            <w:r w:rsidRPr="00D95EB6">
                              <w:rPr>
                                <w:b/>
                                <w:spacing w:val="-5"/>
                                <w:sz w:val="22"/>
                                <w:szCs w:val="22"/>
                              </w:rPr>
                              <w:t xml:space="preserve"> </w:t>
                            </w:r>
                            <w:r w:rsidRPr="00D95EB6">
                              <w:rPr>
                                <w:b/>
                                <w:sz w:val="22"/>
                                <w:szCs w:val="22"/>
                              </w:rPr>
                              <w:t>this</w:t>
                            </w:r>
                            <w:r w:rsidRPr="00D95EB6">
                              <w:rPr>
                                <w:b/>
                                <w:spacing w:val="-4"/>
                                <w:sz w:val="22"/>
                                <w:szCs w:val="22"/>
                              </w:rPr>
                              <w:t xml:space="preserve"> </w:t>
                            </w:r>
                            <w:r w:rsidRPr="00D95EB6">
                              <w:rPr>
                                <w:b/>
                                <w:sz w:val="22"/>
                                <w:szCs w:val="22"/>
                              </w:rPr>
                              <w:t>Hertfordshire Constabulary</w:t>
                            </w:r>
                            <w:r w:rsidRPr="00D95EB6">
                              <w:rPr>
                                <w:b/>
                                <w:spacing w:val="-3"/>
                                <w:sz w:val="22"/>
                                <w:szCs w:val="22"/>
                              </w:rPr>
                              <w:t xml:space="preserve"> </w:t>
                            </w:r>
                            <w:r w:rsidRPr="00D95EB6">
                              <w:rPr>
                                <w:b/>
                                <w:sz w:val="22"/>
                                <w:szCs w:val="22"/>
                              </w:rPr>
                              <w:t>LFR</w:t>
                            </w:r>
                            <w:r w:rsidRPr="00D95EB6">
                              <w:rPr>
                                <w:b/>
                                <w:spacing w:val="-1"/>
                                <w:sz w:val="22"/>
                                <w:szCs w:val="22"/>
                              </w:rPr>
                              <w:t xml:space="preserve"> </w:t>
                            </w:r>
                            <w:r w:rsidRPr="00D95EB6">
                              <w:rPr>
                                <w:b/>
                                <w:sz w:val="22"/>
                                <w:szCs w:val="22"/>
                              </w:rPr>
                              <w:t>Legal</w:t>
                            </w:r>
                            <w:r w:rsidRPr="00D95EB6">
                              <w:rPr>
                                <w:b/>
                                <w:spacing w:val="-1"/>
                                <w:sz w:val="22"/>
                                <w:szCs w:val="22"/>
                              </w:rPr>
                              <w:t xml:space="preserve"> </w:t>
                            </w:r>
                            <w:r w:rsidRPr="00D95EB6">
                              <w:rPr>
                                <w:b/>
                                <w:sz w:val="22"/>
                                <w:szCs w:val="22"/>
                              </w:rPr>
                              <w:t>Mandate shall have the meaning given to them in the Hertfordshire LFR Policy Document unless otherwise defined in this Hertfordshire Constabulary LFR Legal Mandate.</w:t>
                            </w:r>
                          </w:p>
                        </w:txbxContent>
                      </wps:txbx>
                      <wps:bodyPr wrap="square" lIns="0" tIns="0" rIns="0" bIns="0" rtlCol="0">
                        <a:noAutofit/>
                      </wps:bodyPr>
                    </wps:wsp>
                  </a:graphicData>
                </a:graphic>
                <wp14:sizeRelV relativeFrom="margin">
                  <wp14:pctHeight>0</wp14:pctHeight>
                </wp14:sizeRelV>
              </wp:anchor>
            </w:drawing>
          </mc:Choice>
          <mc:Fallback>
            <w:pict>
              <v:shapetype w14:anchorId="2794B6C5" id="_x0000_t202" coordsize="21600,21600" o:spt="202" path="m,l,21600r21600,l21600,xe">
                <v:stroke joinstyle="miter"/>
                <v:path gradientshapeok="t" o:connecttype="rect"/>
              </v:shapetype>
              <v:shape id="Textbox 4" o:spid="_x0000_s1026" type="#_x0000_t202" style="position:absolute;margin-left:0;margin-top:33.55pt;width:442.35pt;height:76.4pt;z-index:2516505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" filled="f" strokeweight=".16967mm">
                <v:path arrowok="t"/>
                <v:textbox inset="0,0,0,0">
                  <w:txbxContent>
                    <w:p w14:paraId="07273C42" w14:textId="77777777" w:rsidR="00D95EB6" w:rsidRPr="00D95EB6" w:rsidRDefault="00D95EB6" w:rsidP="00D95EB6">
                      <w:pPr>
                        <w:spacing w:before="239" w:line="256" w:lineRule="auto"/>
                        <w:ind w:left="273" w:right="390"/>
                        <w:jc w:val="center"/>
                        <w:rPr>
                          <w:b/>
                          <w:sz w:val="22"/>
                          <w:szCs w:val="22"/>
                        </w:rPr>
                      </w:pPr>
                      <w:r w:rsidRPr="00D95EB6">
                        <w:rPr>
                          <w:b/>
                          <w:sz w:val="22"/>
                          <w:szCs w:val="22"/>
                        </w:rPr>
                        <w:t>Terms</w:t>
                      </w:r>
                      <w:r w:rsidRPr="00D95EB6">
                        <w:rPr>
                          <w:b/>
                          <w:spacing w:val="-1"/>
                          <w:sz w:val="22"/>
                          <w:szCs w:val="22"/>
                        </w:rPr>
                        <w:t xml:space="preserve"> </w:t>
                      </w:r>
                      <w:r w:rsidRPr="00D95EB6">
                        <w:rPr>
                          <w:b/>
                          <w:sz w:val="22"/>
                          <w:szCs w:val="22"/>
                        </w:rPr>
                        <w:t>&amp;</w:t>
                      </w:r>
                      <w:r w:rsidRPr="00D95EB6">
                        <w:rPr>
                          <w:b/>
                          <w:spacing w:val="-4"/>
                          <w:sz w:val="22"/>
                          <w:szCs w:val="22"/>
                        </w:rPr>
                        <w:t xml:space="preserve"> </w:t>
                      </w:r>
                      <w:r w:rsidRPr="00D95EB6">
                        <w:rPr>
                          <w:b/>
                          <w:sz w:val="22"/>
                          <w:szCs w:val="22"/>
                        </w:rPr>
                        <w:t>Definitions:</w:t>
                      </w:r>
                      <w:r w:rsidRPr="00D95EB6">
                        <w:rPr>
                          <w:b/>
                          <w:spacing w:val="-5"/>
                          <w:sz w:val="22"/>
                          <w:szCs w:val="22"/>
                        </w:rPr>
                        <w:t xml:space="preserve"> </w:t>
                      </w:r>
                      <w:r w:rsidRPr="00D95EB6">
                        <w:rPr>
                          <w:b/>
                          <w:sz w:val="22"/>
                          <w:szCs w:val="22"/>
                        </w:rPr>
                        <w:t>Capitalised</w:t>
                      </w:r>
                      <w:r w:rsidRPr="00D95EB6">
                        <w:rPr>
                          <w:b/>
                          <w:spacing w:val="-3"/>
                          <w:sz w:val="22"/>
                          <w:szCs w:val="22"/>
                        </w:rPr>
                        <w:t xml:space="preserve"> </w:t>
                      </w:r>
                      <w:r w:rsidRPr="00D95EB6">
                        <w:rPr>
                          <w:b/>
                          <w:sz w:val="22"/>
                          <w:szCs w:val="22"/>
                        </w:rPr>
                        <w:t>terms</w:t>
                      </w:r>
                      <w:r w:rsidRPr="00D95EB6">
                        <w:rPr>
                          <w:b/>
                          <w:spacing w:val="-4"/>
                          <w:sz w:val="22"/>
                          <w:szCs w:val="22"/>
                        </w:rPr>
                        <w:t xml:space="preserve"> </w:t>
                      </w:r>
                      <w:r w:rsidRPr="00D95EB6">
                        <w:rPr>
                          <w:b/>
                          <w:sz w:val="22"/>
                          <w:szCs w:val="22"/>
                        </w:rPr>
                        <w:t>used</w:t>
                      </w:r>
                      <w:r w:rsidRPr="00D95EB6">
                        <w:rPr>
                          <w:b/>
                          <w:spacing w:val="-3"/>
                          <w:sz w:val="22"/>
                          <w:szCs w:val="22"/>
                        </w:rPr>
                        <w:t xml:space="preserve"> </w:t>
                      </w:r>
                      <w:r w:rsidRPr="00D95EB6">
                        <w:rPr>
                          <w:b/>
                          <w:sz w:val="22"/>
                          <w:szCs w:val="22"/>
                        </w:rPr>
                        <w:t>in</w:t>
                      </w:r>
                      <w:r w:rsidRPr="00D95EB6">
                        <w:rPr>
                          <w:b/>
                          <w:spacing w:val="-5"/>
                          <w:sz w:val="22"/>
                          <w:szCs w:val="22"/>
                        </w:rPr>
                        <w:t xml:space="preserve"> </w:t>
                      </w:r>
                      <w:r w:rsidRPr="00D95EB6">
                        <w:rPr>
                          <w:b/>
                          <w:sz w:val="22"/>
                          <w:szCs w:val="22"/>
                        </w:rPr>
                        <w:t>this</w:t>
                      </w:r>
                      <w:r w:rsidRPr="00D95EB6">
                        <w:rPr>
                          <w:b/>
                          <w:spacing w:val="-4"/>
                          <w:sz w:val="22"/>
                          <w:szCs w:val="22"/>
                        </w:rPr>
                        <w:t xml:space="preserve"> </w:t>
                      </w:r>
                      <w:r w:rsidRPr="00D95EB6">
                        <w:rPr>
                          <w:b/>
                          <w:sz w:val="22"/>
                          <w:szCs w:val="22"/>
                        </w:rPr>
                        <w:t>Hertfordshire Constabulary</w:t>
                      </w:r>
                      <w:r w:rsidRPr="00D95EB6">
                        <w:rPr>
                          <w:b/>
                          <w:spacing w:val="-3"/>
                          <w:sz w:val="22"/>
                          <w:szCs w:val="22"/>
                        </w:rPr>
                        <w:t xml:space="preserve"> </w:t>
                      </w:r>
                      <w:r w:rsidRPr="00D95EB6">
                        <w:rPr>
                          <w:b/>
                          <w:sz w:val="22"/>
                          <w:szCs w:val="22"/>
                        </w:rPr>
                        <w:t>LFR</w:t>
                      </w:r>
                      <w:r w:rsidRPr="00D95EB6">
                        <w:rPr>
                          <w:b/>
                          <w:spacing w:val="-1"/>
                          <w:sz w:val="22"/>
                          <w:szCs w:val="22"/>
                        </w:rPr>
                        <w:t xml:space="preserve"> </w:t>
                      </w:r>
                      <w:r w:rsidRPr="00D95EB6">
                        <w:rPr>
                          <w:b/>
                          <w:sz w:val="22"/>
                          <w:szCs w:val="22"/>
                        </w:rPr>
                        <w:t>Legal</w:t>
                      </w:r>
                      <w:r w:rsidRPr="00D95EB6">
                        <w:rPr>
                          <w:b/>
                          <w:spacing w:val="-1"/>
                          <w:sz w:val="22"/>
                          <w:szCs w:val="22"/>
                        </w:rPr>
                        <w:t xml:space="preserve"> </w:t>
                      </w:r>
                      <w:r w:rsidRPr="00D95EB6">
                        <w:rPr>
                          <w:b/>
                          <w:sz w:val="22"/>
                          <w:szCs w:val="22"/>
                        </w:rPr>
                        <w:t>Mandate shall have the meaning given to them in the Hertfordshire LFR Policy Document unless otherwise defined in this Hertfordshire Constabulary LFR Legal Mandate.</w:t>
                      </w:r>
                    </w:p>
                  </w:txbxContent>
                </v:textbox>
                <w10:wrap type="square" anchorx="margin"/>
              </v:shape>
            </w:pict>
          </mc:Fallback>
        </mc:AlternateContent>
      </w:r>
    </w:p>
    <w:p w14:paraId="0C9E5E65" w14:textId="1906D6F8" w:rsidR="00F46C4A" w:rsidRPr="00F46C4A" w:rsidRDefault="00963753" w:rsidP="00F46C4A">
      <w:pPr>
        <w:pStyle w:val="Heading1"/>
        <w:numPr>
          <w:ilvl w:val="0"/>
          <w:numId w:val="1"/>
        </w:numPr>
        <w:rPr>
          <w:sz w:val="36"/>
          <w:szCs w:val="36"/>
        </w:rPr>
      </w:pPr>
      <w:bookmarkStart w:id="0" w:name="_Toc216180218"/>
      <w:r w:rsidRPr="00963753">
        <w:rPr>
          <w:sz w:val="36"/>
          <w:szCs w:val="36"/>
        </w:rPr>
        <w:lastRenderedPageBreak/>
        <w:t>Introduction</w:t>
      </w:r>
      <w:bookmarkEnd w:id="0"/>
    </w:p>
    <w:p w14:paraId="4675197D" w14:textId="3CB1075D" w:rsidR="00963753" w:rsidRDefault="00963753" w:rsidP="00963753">
      <w:pPr>
        <w:pStyle w:val="NoSpacing"/>
        <w:numPr>
          <w:ilvl w:val="1"/>
          <w:numId w:val="1"/>
        </w:numPr>
      </w:pPr>
      <w:r w:rsidRPr="00963753">
        <w:t>Live Facial Recognition (LFR) for law enforcement purposes is not governed by a single, dedicated piece of primary legislation. Instead, its use is regulated through a combination of primary and secondary legislation, supplemented by both national and local policies. This framework creates a ‘tapestry’ of legal and policy provisions that together form a multi-layered structure for the lawful use and regulation of LFR.</w:t>
      </w:r>
    </w:p>
    <w:p w14:paraId="7BDB447C" w14:textId="77777777" w:rsidR="00963753" w:rsidRDefault="00963753" w:rsidP="00F46C4A">
      <w:pPr>
        <w:pStyle w:val="NoSpacing"/>
        <w:ind w:left="720"/>
      </w:pPr>
    </w:p>
    <w:tbl>
      <w:tblPr>
        <w:tblStyle w:val="TableGrid"/>
        <w:tblW w:w="0" w:type="auto"/>
        <w:tblInd w:w="720" w:type="dxa"/>
        <w:tblLook w:val="04A0" w:firstRow="1" w:lastRow="0" w:firstColumn="1" w:lastColumn="0" w:noHBand="0" w:noVBand="1"/>
      </w:tblPr>
      <w:tblGrid>
        <w:gridCol w:w="2961"/>
        <w:gridCol w:w="5335"/>
      </w:tblGrid>
      <w:tr w:rsidR="00963753" w14:paraId="21B7BA60" w14:textId="77777777" w:rsidTr="00B82750">
        <w:tc>
          <w:tcPr>
            <w:tcW w:w="8296" w:type="dxa"/>
            <w:gridSpan w:val="2"/>
          </w:tcPr>
          <w:p w14:paraId="3C945618" w14:textId="7C462E06" w:rsidR="00963753" w:rsidRDefault="00963753" w:rsidP="00963753">
            <w:pPr>
              <w:pStyle w:val="NoSpacing"/>
              <w:jc w:val="center"/>
            </w:pPr>
            <w:r w:rsidRPr="00EF4D2B">
              <w:t>Tier one: Legislation</w:t>
            </w:r>
          </w:p>
        </w:tc>
      </w:tr>
      <w:tr w:rsidR="00963753" w14:paraId="6A9D70F4" w14:textId="77777777" w:rsidTr="00963753">
        <w:tc>
          <w:tcPr>
            <w:tcW w:w="2961" w:type="dxa"/>
          </w:tcPr>
          <w:p w14:paraId="2075BEAE" w14:textId="5E456911" w:rsidR="00963753" w:rsidRPr="00EF4D2B" w:rsidRDefault="00963753" w:rsidP="00963753">
            <w:pPr>
              <w:pStyle w:val="NoSpacing"/>
              <w:jc w:val="center"/>
              <w:rPr>
                <w:sz w:val="22"/>
                <w:szCs w:val="22"/>
              </w:rPr>
            </w:pPr>
            <w:r w:rsidRPr="00EF4D2B">
              <w:rPr>
                <w:sz w:val="22"/>
                <w:szCs w:val="22"/>
              </w:rPr>
              <w:t>Legal Power to use LFR</w:t>
            </w:r>
          </w:p>
        </w:tc>
        <w:tc>
          <w:tcPr>
            <w:tcW w:w="5335" w:type="dxa"/>
          </w:tcPr>
          <w:p w14:paraId="34DA87A9" w14:textId="74FD51B1" w:rsidR="00963753" w:rsidRPr="00EF4D2B" w:rsidRDefault="00963753" w:rsidP="00EF4D2B">
            <w:pPr>
              <w:pStyle w:val="NoSpacing"/>
              <w:numPr>
                <w:ilvl w:val="0"/>
                <w:numId w:val="9"/>
              </w:numPr>
              <w:rPr>
                <w:i/>
                <w:iCs/>
                <w:sz w:val="22"/>
                <w:szCs w:val="22"/>
              </w:rPr>
            </w:pPr>
            <w:r w:rsidRPr="00EF4D2B">
              <w:rPr>
                <w:i/>
                <w:iCs/>
                <w:sz w:val="22"/>
                <w:szCs w:val="22"/>
              </w:rPr>
              <w:t>Common Law</w:t>
            </w:r>
          </w:p>
          <w:p w14:paraId="6020EFD4" w14:textId="53F6EEA7" w:rsidR="00963753" w:rsidRPr="00EF4D2B" w:rsidRDefault="00963753" w:rsidP="00EF4D2B">
            <w:pPr>
              <w:pStyle w:val="NoSpacing"/>
              <w:numPr>
                <w:ilvl w:val="0"/>
                <w:numId w:val="9"/>
              </w:numPr>
              <w:rPr>
                <w:sz w:val="22"/>
                <w:szCs w:val="22"/>
              </w:rPr>
            </w:pPr>
            <w:r w:rsidRPr="00EF4D2B">
              <w:rPr>
                <w:i/>
                <w:iCs/>
                <w:sz w:val="22"/>
                <w:szCs w:val="22"/>
              </w:rPr>
              <w:t>Police and Criminal Evidence Act 1984 Code D (revised)</w:t>
            </w:r>
          </w:p>
        </w:tc>
      </w:tr>
      <w:tr w:rsidR="00963753" w14:paraId="6020CA71" w14:textId="77777777" w:rsidTr="00963753">
        <w:tc>
          <w:tcPr>
            <w:tcW w:w="2961" w:type="dxa"/>
          </w:tcPr>
          <w:p w14:paraId="350331C9" w14:textId="291B30DB" w:rsidR="00963753" w:rsidRPr="00EF4D2B" w:rsidRDefault="00963753" w:rsidP="00963753">
            <w:pPr>
              <w:pStyle w:val="NoSpacing"/>
              <w:jc w:val="center"/>
              <w:rPr>
                <w:sz w:val="22"/>
                <w:szCs w:val="22"/>
              </w:rPr>
            </w:pPr>
            <w:r w:rsidRPr="00EF4D2B">
              <w:rPr>
                <w:sz w:val="22"/>
                <w:szCs w:val="22"/>
              </w:rPr>
              <w:t>Regulat</w:t>
            </w:r>
            <w:r w:rsidR="00EF4D2B" w:rsidRPr="00EF4D2B">
              <w:rPr>
                <w:sz w:val="22"/>
                <w:szCs w:val="22"/>
              </w:rPr>
              <w:t>ing</w:t>
            </w:r>
            <w:r w:rsidRPr="00EF4D2B">
              <w:rPr>
                <w:sz w:val="22"/>
                <w:szCs w:val="22"/>
              </w:rPr>
              <w:t xml:space="preserve"> the use of LFR</w:t>
            </w:r>
          </w:p>
        </w:tc>
        <w:tc>
          <w:tcPr>
            <w:tcW w:w="5335" w:type="dxa"/>
          </w:tcPr>
          <w:p w14:paraId="77379DCF" w14:textId="77777777" w:rsidR="00EF4D2B" w:rsidRPr="00EF4D2B" w:rsidRDefault="00963753" w:rsidP="00963753">
            <w:pPr>
              <w:pStyle w:val="NoSpacing"/>
              <w:rPr>
                <w:sz w:val="22"/>
                <w:szCs w:val="22"/>
              </w:rPr>
            </w:pPr>
            <w:r w:rsidRPr="00EF4D2B">
              <w:rPr>
                <w:sz w:val="22"/>
                <w:szCs w:val="22"/>
              </w:rPr>
              <w:t>Operational</w:t>
            </w:r>
          </w:p>
          <w:p w14:paraId="7E667B12" w14:textId="17F7F2DC" w:rsidR="00963753" w:rsidRPr="00EF4D2B" w:rsidRDefault="00963753" w:rsidP="00EF4D2B">
            <w:pPr>
              <w:pStyle w:val="NoSpacing"/>
              <w:numPr>
                <w:ilvl w:val="0"/>
                <w:numId w:val="9"/>
              </w:numPr>
              <w:rPr>
                <w:sz w:val="22"/>
                <w:szCs w:val="22"/>
              </w:rPr>
            </w:pPr>
            <w:r w:rsidRPr="00EF4D2B">
              <w:rPr>
                <w:i/>
                <w:iCs/>
                <w:sz w:val="22"/>
                <w:szCs w:val="22"/>
              </w:rPr>
              <w:t>Human Rights Act 1998</w:t>
            </w:r>
          </w:p>
          <w:p w14:paraId="3C8C4F76" w14:textId="7EDA088A" w:rsidR="00963753" w:rsidRPr="00EF4D2B" w:rsidRDefault="00963753" w:rsidP="00EF4D2B">
            <w:pPr>
              <w:pStyle w:val="NoSpacing"/>
              <w:numPr>
                <w:ilvl w:val="0"/>
                <w:numId w:val="9"/>
              </w:numPr>
              <w:rPr>
                <w:i/>
                <w:iCs/>
                <w:sz w:val="22"/>
                <w:szCs w:val="22"/>
              </w:rPr>
            </w:pPr>
            <w:r w:rsidRPr="00EF4D2B">
              <w:rPr>
                <w:i/>
                <w:iCs/>
                <w:sz w:val="22"/>
                <w:szCs w:val="22"/>
              </w:rPr>
              <w:t>Equality Act 2010</w:t>
            </w:r>
          </w:p>
          <w:p w14:paraId="6DD12753" w14:textId="77777777" w:rsidR="00963753" w:rsidRPr="00EF4D2B" w:rsidRDefault="00963753" w:rsidP="00963753">
            <w:pPr>
              <w:pStyle w:val="NoSpacing"/>
              <w:rPr>
                <w:sz w:val="22"/>
                <w:szCs w:val="22"/>
              </w:rPr>
            </w:pPr>
          </w:p>
          <w:p w14:paraId="726B8CE0" w14:textId="59EE514F" w:rsidR="00963753" w:rsidRPr="00EF4D2B" w:rsidRDefault="00963753" w:rsidP="00963753">
            <w:pPr>
              <w:pStyle w:val="NoSpacing"/>
              <w:rPr>
                <w:sz w:val="22"/>
                <w:szCs w:val="22"/>
              </w:rPr>
            </w:pPr>
            <w:r w:rsidRPr="00EF4D2B">
              <w:rPr>
                <w:sz w:val="22"/>
                <w:szCs w:val="22"/>
              </w:rPr>
              <w:t>Data Management</w:t>
            </w:r>
          </w:p>
          <w:p w14:paraId="11F3E009" w14:textId="3D4C6166" w:rsidR="00963753" w:rsidRPr="00EF4D2B" w:rsidRDefault="00963753" w:rsidP="00EF4D2B">
            <w:pPr>
              <w:pStyle w:val="NoSpacing"/>
              <w:numPr>
                <w:ilvl w:val="0"/>
                <w:numId w:val="9"/>
              </w:numPr>
              <w:rPr>
                <w:i/>
                <w:iCs/>
                <w:sz w:val="22"/>
                <w:szCs w:val="22"/>
              </w:rPr>
            </w:pPr>
            <w:r w:rsidRPr="00EF4D2B">
              <w:rPr>
                <w:i/>
                <w:iCs/>
                <w:sz w:val="22"/>
                <w:szCs w:val="22"/>
              </w:rPr>
              <w:t>Data Protection Act 2018 (Part 3)</w:t>
            </w:r>
          </w:p>
          <w:p w14:paraId="4A90456E" w14:textId="0EB1306C" w:rsidR="00963753" w:rsidRPr="00EF4D2B" w:rsidRDefault="00963753" w:rsidP="00EF4D2B">
            <w:pPr>
              <w:pStyle w:val="NoSpacing"/>
              <w:numPr>
                <w:ilvl w:val="0"/>
                <w:numId w:val="9"/>
              </w:numPr>
              <w:rPr>
                <w:i/>
                <w:iCs/>
                <w:sz w:val="22"/>
                <w:szCs w:val="22"/>
              </w:rPr>
            </w:pPr>
            <w:r w:rsidRPr="00EF4D2B">
              <w:rPr>
                <w:i/>
                <w:iCs/>
                <w:sz w:val="22"/>
                <w:szCs w:val="22"/>
              </w:rPr>
              <w:t>UK General Data Protection Regulation</w:t>
            </w:r>
          </w:p>
          <w:p w14:paraId="5699AA22" w14:textId="1FC29145" w:rsidR="00963753" w:rsidRPr="00EF4D2B" w:rsidRDefault="00963753" w:rsidP="00EF4D2B">
            <w:pPr>
              <w:pStyle w:val="NoSpacing"/>
              <w:numPr>
                <w:ilvl w:val="0"/>
                <w:numId w:val="9"/>
              </w:numPr>
              <w:rPr>
                <w:sz w:val="22"/>
                <w:szCs w:val="22"/>
              </w:rPr>
            </w:pPr>
            <w:r w:rsidRPr="00EF4D2B">
              <w:rPr>
                <w:i/>
                <w:iCs/>
                <w:sz w:val="22"/>
                <w:szCs w:val="22"/>
              </w:rPr>
              <w:t>Protection of Freedoms Act 2012</w:t>
            </w:r>
          </w:p>
        </w:tc>
      </w:tr>
      <w:tr w:rsidR="00963753" w14:paraId="762662BE" w14:textId="77777777" w:rsidTr="00963753">
        <w:tc>
          <w:tcPr>
            <w:tcW w:w="2961" w:type="dxa"/>
          </w:tcPr>
          <w:p w14:paraId="20C40C8F" w14:textId="17582826" w:rsidR="00963753" w:rsidRPr="00EF4D2B" w:rsidRDefault="00963753" w:rsidP="00963753">
            <w:pPr>
              <w:pStyle w:val="NoSpacing"/>
              <w:jc w:val="center"/>
              <w:rPr>
                <w:sz w:val="22"/>
                <w:szCs w:val="22"/>
              </w:rPr>
            </w:pPr>
            <w:r w:rsidRPr="00EF4D2B">
              <w:rPr>
                <w:sz w:val="22"/>
                <w:szCs w:val="22"/>
              </w:rPr>
              <w:t>Requests for information in relation to LFR</w:t>
            </w:r>
          </w:p>
        </w:tc>
        <w:tc>
          <w:tcPr>
            <w:tcW w:w="5335" w:type="dxa"/>
          </w:tcPr>
          <w:p w14:paraId="1E0D33B8" w14:textId="26A72543" w:rsidR="00963753" w:rsidRPr="00EF4D2B" w:rsidRDefault="00963753" w:rsidP="00EF4D2B">
            <w:pPr>
              <w:pStyle w:val="NoSpacing"/>
              <w:numPr>
                <w:ilvl w:val="0"/>
                <w:numId w:val="9"/>
              </w:numPr>
              <w:rPr>
                <w:i/>
                <w:iCs/>
                <w:sz w:val="22"/>
                <w:szCs w:val="22"/>
              </w:rPr>
            </w:pPr>
            <w:r w:rsidRPr="00EF4D2B">
              <w:rPr>
                <w:i/>
                <w:iCs/>
                <w:sz w:val="22"/>
                <w:szCs w:val="22"/>
              </w:rPr>
              <w:t>Freedom of Information Act 2000</w:t>
            </w:r>
          </w:p>
          <w:p w14:paraId="1C2297CD" w14:textId="67165E16" w:rsidR="00963753" w:rsidRPr="00EF4D2B" w:rsidRDefault="00963753" w:rsidP="00EF4D2B">
            <w:pPr>
              <w:pStyle w:val="NoSpacing"/>
              <w:numPr>
                <w:ilvl w:val="0"/>
                <w:numId w:val="9"/>
              </w:numPr>
              <w:rPr>
                <w:sz w:val="22"/>
                <w:szCs w:val="22"/>
              </w:rPr>
            </w:pPr>
            <w:r w:rsidRPr="00EF4D2B">
              <w:rPr>
                <w:i/>
                <w:iCs/>
                <w:sz w:val="22"/>
                <w:szCs w:val="22"/>
              </w:rPr>
              <w:t>Data Protection Act 2018 (Subject Access</w:t>
            </w:r>
            <w:r w:rsidR="00EF4D2B" w:rsidRPr="00EF4D2B">
              <w:rPr>
                <w:i/>
                <w:iCs/>
                <w:sz w:val="22"/>
                <w:szCs w:val="22"/>
              </w:rPr>
              <w:t xml:space="preserve"> </w:t>
            </w:r>
            <w:r w:rsidRPr="00EF4D2B">
              <w:rPr>
                <w:i/>
                <w:iCs/>
                <w:sz w:val="22"/>
                <w:szCs w:val="22"/>
              </w:rPr>
              <w:t>Requests)</w:t>
            </w:r>
          </w:p>
        </w:tc>
      </w:tr>
    </w:tbl>
    <w:p w14:paraId="0D34464A" w14:textId="77777777" w:rsidR="00963753" w:rsidRDefault="00963753" w:rsidP="00963753">
      <w:pPr>
        <w:pStyle w:val="NoSpacing"/>
        <w:ind w:left="720"/>
        <w:jc w:val="center"/>
      </w:pPr>
    </w:p>
    <w:tbl>
      <w:tblPr>
        <w:tblStyle w:val="TableGrid"/>
        <w:tblW w:w="0" w:type="auto"/>
        <w:tblInd w:w="720" w:type="dxa"/>
        <w:tblLook w:val="04A0" w:firstRow="1" w:lastRow="0" w:firstColumn="1" w:lastColumn="0" w:noHBand="0" w:noVBand="1"/>
      </w:tblPr>
      <w:tblGrid>
        <w:gridCol w:w="2961"/>
        <w:gridCol w:w="5335"/>
      </w:tblGrid>
      <w:tr w:rsidR="00EF4D2B" w14:paraId="4114A5F9" w14:textId="77777777" w:rsidTr="00837D08">
        <w:tc>
          <w:tcPr>
            <w:tcW w:w="8296" w:type="dxa"/>
            <w:gridSpan w:val="2"/>
          </w:tcPr>
          <w:p w14:paraId="4787D574" w14:textId="1AFDBF08" w:rsidR="00EF4D2B" w:rsidRDefault="00EF4D2B" w:rsidP="00837D08">
            <w:pPr>
              <w:pStyle w:val="NoSpacing"/>
              <w:jc w:val="center"/>
            </w:pPr>
            <w:r w:rsidRPr="00EF4D2B">
              <w:t>Tier two: Code and Guidance</w:t>
            </w:r>
          </w:p>
        </w:tc>
      </w:tr>
      <w:tr w:rsidR="00EF4D2B" w14:paraId="4D9668E5" w14:textId="77777777" w:rsidTr="00EF4D2B">
        <w:trPr>
          <w:trHeight w:val="2979"/>
        </w:trPr>
        <w:tc>
          <w:tcPr>
            <w:tcW w:w="2961" w:type="dxa"/>
          </w:tcPr>
          <w:p w14:paraId="50300B56" w14:textId="3F4C2F2A" w:rsidR="00EF4D2B" w:rsidRPr="00EF4D2B" w:rsidRDefault="00EF4D2B" w:rsidP="00837D08">
            <w:pPr>
              <w:pStyle w:val="NoSpacing"/>
              <w:jc w:val="center"/>
              <w:rPr>
                <w:sz w:val="22"/>
                <w:szCs w:val="22"/>
              </w:rPr>
            </w:pPr>
            <w:r w:rsidRPr="00EF4D2B">
              <w:rPr>
                <w:sz w:val="22"/>
                <w:szCs w:val="22"/>
              </w:rPr>
              <w:t>Regulating the use of LFR</w:t>
            </w:r>
          </w:p>
        </w:tc>
        <w:tc>
          <w:tcPr>
            <w:tcW w:w="5335" w:type="dxa"/>
          </w:tcPr>
          <w:p w14:paraId="1D8FEA1A" w14:textId="6D3787FE" w:rsidR="00EF4D2B" w:rsidRPr="00EF4D2B" w:rsidRDefault="00EF4D2B" w:rsidP="00EF4D2B">
            <w:pPr>
              <w:pStyle w:val="NoSpacing"/>
              <w:numPr>
                <w:ilvl w:val="0"/>
                <w:numId w:val="11"/>
              </w:numPr>
              <w:rPr>
                <w:i/>
                <w:iCs/>
                <w:sz w:val="22"/>
                <w:szCs w:val="22"/>
              </w:rPr>
            </w:pPr>
            <w:r w:rsidRPr="00EF4D2B">
              <w:rPr>
                <w:i/>
                <w:iCs/>
                <w:sz w:val="22"/>
                <w:szCs w:val="22"/>
              </w:rPr>
              <w:t>Secretary of State’s Surveillance Camera Code of Practise.</w:t>
            </w:r>
          </w:p>
          <w:p w14:paraId="763F9699" w14:textId="7BA80E76" w:rsidR="00EF4D2B" w:rsidRPr="00EF4D2B" w:rsidRDefault="00EF4D2B" w:rsidP="00EF4D2B">
            <w:pPr>
              <w:pStyle w:val="NoSpacing"/>
              <w:numPr>
                <w:ilvl w:val="0"/>
                <w:numId w:val="11"/>
              </w:numPr>
              <w:rPr>
                <w:i/>
                <w:iCs/>
                <w:sz w:val="22"/>
                <w:szCs w:val="22"/>
              </w:rPr>
            </w:pPr>
            <w:r w:rsidRPr="00EF4D2B">
              <w:rPr>
                <w:i/>
                <w:iCs/>
                <w:sz w:val="22"/>
                <w:szCs w:val="22"/>
              </w:rPr>
              <w:t>Guidance issued by the Surveillance Camera Commissioner (Facing the Camara)</w:t>
            </w:r>
          </w:p>
          <w:p w14:paraId="68DEFCD5" w14:textId="4E283372" w:rsidR="00EF4D2B" w:rsidRPr="00EF4D2B" w:rsidRDefault="00EF4D2B" w:rsidP="00EF4D2B">
            <w:pPr>
              <w:pStyle w:val="NoSpacing"/>
              <w:numPr>
                <w:ilvl w:val="0"/>
                <w:numId w:val="11"/>
              </w:numPr>
              <w:rPr>
                <w:sz w:val="22"/>
                <w:szCs w:val="22"/>
              </w:rPr>
            </w:pPr>
            <w:r w:rsidRPr="00EF4D2B">
              <w:rPr>
                <w:i/>
                <w:iCs/>
                <w:sz w:val="22"/>
                <w:szCs w:val="22"/>
              </w:rPr>
              <w:t xml:space="preserve"> Information Commissioner’s Office Code of Practise for Surveillance Cameras and associated guidance issued by the Information Commissione</w:t>
            </w:r>
            <w:r w:rsidRPr="00EF4D2B">
              <w:rPr>
                <w:sz w:val="22"/>
                <w:szCs w:val="22"/>
              </w:rPr>
              <w:t>r</w:t>
            </w:r>
          </w:p>
        </w:tc>
      </w:tr>
    </w:tbl>
    <w:p w14:paraId="35DE3146" w14:textId="77777777" w:rsidR="00EF4D2B" w:rsidRDefault="00EF4D2B" w:rsidP="00963753">
      <w:pPr>
        <w:pStyle w:val="NoSpacing"/>
        <w:ind w:left="720"/>
        <w:jc w:val="center"/>
      </w:pPr>
    </w:p>
    <w:tbl>
      <w:tblPr>
        <w:tblStyle w:val="TableGrid"/>
        <w:tblW w:w="0" w:type="auto"/>
        <w:tblInd w:w="720" w:type="dxa"/>
        <w:tblLook w:val="04A0" w:firstRow="1" w:lastRow="0" w:firstColumn="1" w:lastColumn="0" w:noHBand="0" w:noVBand="1"/>
      </w:tblPr>
      <w:tblGrid>
        <w:gridCol w:w="2961"/>
        <w:gridCol w:w="5335"/>
      </w:tblGrid>
      <w:tr w:rsidR="00EF4D2B" w14:paraId="51113E01" w14:textId="77777777" w:rsidTr="00837D08">
        <w:tc>
          <w:tcPr>
            <w:tcW w:w="8296" w:type="dxa"/>
            <w:gridSpan w:val="2"/>
          </w:tcPr>
          <w:p w14:paraId="29021CA2" w14:textId="0DADCEC3" w:rsidR="00EF4D2B" w:rsidRDefault="00EF4D2B" w:rsidP="00837D08">
            <w:pPr>
              <w:pStyle w:val="NoSpacing"/>
              <w:jc w:val="center"/>
            </w:pPr>
            <w:r w:rsidRPr="00EF4D2B">
              <w:t xml:space="preserve">Tier </w:t>
            </w:r>
            <w:r>
              <w:t>three: Hertfordshire Constabulary LFR Documents</w:t>
            </w:r>
          </w:p>
        </w:tc>
      </w:tr>
      <w:tr w:rsidR="00EF4D2B" w14:paraId="5527CF0D" w14:textId="77777777" w:rsidTr="00EF4C69">
        <w:trPr>
          <w:trHeight w:val="2371"/>
        </w:trPr>
        <w:tc>
          <w:tcPr>
            <w:tcW w:w="2961" w:type="dxa"/>
          </w:tcPr>
          <w:p w14:paraId="1D848D53" w14:textId="77777777" w:rsidR="00EF4D2B" w:rsidRPr="00EF4D2B" w:rsidRDefault="00EF4D2B" w:rsidP="00837D08">
            <w:pPr>
              <w:pStyle w:val="NoSpacing"/>
              <w:jc w:val="center"/>
              <w:rPr>
                <w:sz w:val="22"/>
                <w:szCs w:val="22"/>
              </w:rPr>
            </w:pPr>
            <w:r w:rsidRPr="00EF4D2B">
              <w:rPr>
                <w:sz w:val="22"/>
                <w:szCs w:val="22"/>
              </w:rPr>
              <w:t>Regulating the use of LFR</w:t>
            </w:r>
          </w:p>
        </w:tc>
        <w:tc>
          <w:tcPr>
            <w:tcW w:w="5335" w:type="dxa"/>
          </w:tcPr>
          <w:p w14:paraId="1F949B1A" w14:textId="3297630F" w:rsidR="00EF4D2B" w:rsidRPr="00EF4D2B" w:rsidRDefault="00EF4D2B" w:rsidP="00EF4D2B">
            <w:pPr>
              <w:pStyle w:val="NoSpacing"/>
              <w:numPr>
                <w:ilvl w:val="0"/>
                <w:numId w:val="13"/>
              </w:numPr>
              <w:rPr>
                <w:i/>
                <w:iCs/>
                <w:sz w:val="22"/>
                <w:szCs w:val="22"/>
              </w:rPr>
            </w:pPr>
            <w:r w:rsidRPr="00EF4D2B">
              <w:rPr>
                <w:i/>
                <w:iCs/>
                <w:sz w:val="22"/>
                <w:szCs w:val="22"/>
              </w:rPr>
              <w:t>Policy Document</w:t>
            </w:r>
          </w:p>
          <w:p w14:paraId="0E03B8FD" w14:textId="215625E2" w:rsidR="00EF4D2B" w:rsidRPr="00EF4D2B" w:rsidRDefault="00EF4D2B" w:rsidP="00EF4D2B">
            <w:pPr>
              <w:pStyle w:val="NoSpacing"/>
              <w:numPr>
                <w:ilvl w:val="0"/>
                <w:numId w:val="13"/>
              </w:numPr>
              <w:rPr>
                <w:i/>
                <w:iCs/>
                <w:sz w:val="22"/>
                <w:szCs w:val="22"/>
              </w:rPr>
            </w:pPr>
            <w:r w:rsidRPr="00EF4D2B">
              <w:rPr>
                <w:i/>
                <w:iCs/>
                <w:sz w:val="22"/>
                <w:szCs w:val="22"/>
              </w:rPr>
              <w:t>Standard Operating Procedure</w:t>
            </w:r>
          </w:p>
          <w:p w14:paraId="06739572" w14:textId="12792D92" w:rsidR="00EF4D2B" w:rsidRPr="00EF4D2B" w:rsidRDefault="00EF4D2B" w:rsidP="00EF4D2B">
            <w:pPr>
              <w:pStyle w:val="NoSpacing"/>
              <w:numPr>
                <w:ilvl w:val="0"/>
                <w:numId w:val="13"/>
              </w:numPr>
              <w:rPr>
                <w:i/>
                <w:iCs/>
                <w:sz w:val="22"/>
                <w:szCs w:val="22"/>
              </w:rPr>
            </w:pPr>
            <w:r w:rsidRPr="00EF4D2B">
              <w:rPr>
                <w:i/>
                <w:iCs/>
                <w:sz w:val="22"/>
                <w:szCs w:val="22"/>
              </w:rPr>
              <w:t>Training</w:t>
            </w:r>
            <w:r w:rsidR="00445889">
              <w:rPr>
                <w:i/>
                <w:iCs/>
                <w:sz w:val="22"/>
                <w:szCs w:val="22"/>
              </w:rPr>
              <w:t>/Briefing</w:t>
            </w:r>
            <w:r w:rsidRPr="00EF4D2B">
              <w:rPr>
                <w:i/>
                <w:iCs/>
                <w:sz w:val="22"/>
                <w:szCs w:val="22"/>
              </w:rPr>
              <w:t xml:space="preserve"> Documents</w:t>
            </w:r>
          </w:p>
          <w:p w14:paraId="6F46DA75" w14:textId="1FAAA5A0" w:rsidR="00EF4D2B" w:rsidRPr="00EF4D2B" w:rsidRDefault="00EF4D2B" w:rsidP="00EF4D2B">
            <w:pPr>
              <w:pStyle w:val="NoSpacing"/>
              <w:numPr>
                <w:ilvl w:val="0"/>
                <w:numId w:val="13"/>
              </w:numPr>
              <w:rPr>
                <w:i/>
                <w:iCs/>
                <w:sz w:val="22"/>
                <w:szCs w:val="22"/>
              </w:rPr>
            </w:pPr>
            <w:r w:rsidRPr="00EF4D2B">
              <w:rPr>
                <w:i/>
                <w:iCs/>
                <w:sz w:val="22"/>
                <w:szCs w:val="22"/>
              </w:rPr>
              <w:t>Data Protection Appropriate Policy Document</w:t>
            </w:r>
          </w:p>
          <w:p w14:paraId="4F6775EB" w14:textId="5A407763" w:rsidR="00EF4D2B" w:rsidRPr="00EF4D2B" w:rsidRDefault="00EF4D2B" w:rsidP="00EF4D2B">
            <w:pPr>
              <w:pStyle w:val="NoSpacing"/>
              <w:numPr>
                <w:ilvl w:val="0"/>
                <w:numId w:val="13"/>
              </w:numPr>
              <w:rPr>
                <w:i/>
                <w:iCs/>
                <w:sz w:val="22"/>
                <w:szCs w:val="22"/>
              </w:rPr>
            </w:pPr>
            <w:r w:rsidRPr="00EF4D2B">
              <w:rPr>
                <w:i/>
                <w:iCs/>
                <w:sz w:val="22"/>
                <w:szCs w:val="22"/>
              </w:rPr>
              <w:t>Data Protection Impact Assessment</w:t>
            </w:r>
          </w:p>
          <w:p w14:paraId="24AF7C24" w14:textId="6A26EF85" w:rsidR="00EF4D2B" w:rsidRPr="00EF4D2B" w:rsidRDefault="00EF4D2B" w:rsidP="00EF4D2B">
            <w:pPr>
              <w:pStyle w:val="NoSpacing"/>
              <w:numPr>
                <w:ilvl w:val="0"/>
                <w:numId w:val="13"/>
              </w:numPr>
              <w:rPr>
                <w:i/>
                <w:iCs/>
                <w:sz w:val="22"/>
                <w:szCs w:val="22"/>
              </w:rPr>
            </w:pPr>
            <w:r w:rsidRPr="00EF4D2B">
              <w:rPr>
                <w:i/>
                <w:iCs/>
                <w:sz w:val="22"/>
                <w:szCs w:val="22"/>
              </w:rPr>
              <w:t>Equality Impact Assessment</w:t>
            </w:r>
          </w:p>
          <w:p w14:paraId="04F75AF4" w14:textId="4CD216E2" w:rsidR="00EF4D2B" w:rsidRPr="00EF4D2B" w:rsidRDefault="00EF4D2B" w:rsidP="00EF4D2B">
            <w:pPr>
              <w:pStyle w:val="NoSpacing"/>
              <w:numPr>
                <w:ilvl w:val="0"/>
                <w:numId w:val="13"/>
              </w:numPr>
              <w:rPr>
                <w:i/>
                <w:iCs/>
                <w:sz w:val="22"/>
                <w:szCs w:val="22"/>
              </w:rPr>
            </w:pPr>
            <w:r w:rsidRPr="00EF4D2B">
              <w:rPr>
                <w:i/>
                <w:iCs/>
                <w:sz w:val="22"/>
                <w:szCs w:val="22"/>
              </w:rPr>
              <w:t>Community Impact Assessment</w:t>
            </w:r>
          </w:p>
          <w:p w14:paraId="4EA2C336" w14:textId="1981CC83" w:rsidR="00EF4D2B" w:rsidRPr="00EF4D2B" w:rsidRDefault="00EF4D2B" w:rsidP="00EF4D2B">
            <w:pPr>
              <w:pStyle w:val="NoSpacing"/>
              <w:numPr>
                <w:ilvl w:val="0"/>
                <w:numId w:val="13"/>
              </w:numPr>
              <w:rPr>
                <w:sz w:val="22"/>
                <w:szCs w:val="22"/>
              </w:rPr>
            </w:pPr>
            <w:r w:rsidRPr="00EF4D2B">
              <w:rPr>
                <w:i/>
                <w:iCs/>
                <w:sz w:val="22"/>
                <w:szCs w:val="22"/>
              </w:rPr>
              <w:t>Legal Mandate</w:t>
            </w:r>
          </w:p>
        </w:tc>
      </w:tr>
    </w:tbl>
    <w:p w14:paraId="75BF78EE" w14:textId="77C1324B" w:rsidR="00F46C4A" w:rsidRDefault="00F46C4A" w:rsidP="00F46C4A">
      <w:pPr>
        <w:pStyle w:val="Heading1"/>
        <w:numPr>
          <w:ilvl w:val="0"/>
          <w:numId w:val="1"/>
        </w:numPr>
        <w:rPr>
          <w:sz w:val="36"/>
          <w:szCs w:val="36"/>
        </w:rPr>
      </w:pPr>
      <w:bookmarkStart w:id="1" w:name="_Toc216180219"/>
      <w:r>
        <w:rPr>
          <w:sz w:val="36"/>
          <w:szCs w:val="36"/>
        </w:rPr>
        <w:lastRenderedPageBreak/>
        <w:t>Common Law</w:t>
      </w:r>
      <w:bookmarkEnd w:id="1"/>
    </w:p>
    <w:p w14:paraId="42290E8E" w14:textId="095C39BA" w:rsidR="00F46C4A" w:rsidRDefault="00F46C4A" w:rsidP="00F46C4A">
      <w:pPr>
        <w:pStyle w:val="ListParagraph"/>
        <w:numPr>
          <w:ilvl w:val="1"/>
          <w:numId w:val="1"/>
        </w:numPr>
      </w:pPr>
      <w:r w:rsidRPr="00F46C4A">
        <w:t>The police have a range of long-established responsibilities and powers derived from common law, which have been consistently recognised by the courts. Hertfordshire Constabulary is required to comply with both common law and statutory safeguards when carrying out its operational policing duties. In doing so, the Constabulary relies on common law to discharge several of its core responsibilities.</w:t>
      </w:r>
    </w:p>
    <w:p w14:paraId="45A42DAF" w14:textId="77777777" w:rsidR="00F46C4A" w:rsidRDefault="00F46C4A" w:rsidP="00F46C4A">
      <w:pPr>
        <w:pStyle w:val="ListParagraph"/>
      </w:pPr>
    </w:p>
    <w:p w14:paraId="5F8C1ABB" w14:textId="4C3464DC" w:rsidR="00F46C4A" w:rsidRDefault="00F46C4A" w:rsidP="00F46C4A">
      <w:pPr>
        <w:pStyle w:val="ListParagraph"/>
        <w:numPr>
          <w:ilvl w:val="1"/>
          <w:numId w:val="1"/>
        </w:numPr>
      </w:pPr>
      <w:r>
        <w:t>When utilising Live Facial Recognition (LFR) technology, Hertfordshire Constabulary may rely on the following common law policing powers:</w:t>
      </w:r>
    </w:p>
    <w:p w14:paraId="65756AE6" w14:textId="77777777" w:rsidR="00F46C4A" w:rsidRDefault="00F46C4A" w:rsidP="00F46C4A">
      <w:pPr>
        <w:pStyle w:val="ListParagraph"/>
      </w:pPr>
    </w:p>
    <w:p w14:paraId="452ED71E" w14:textId="77777777" w:rsidR="00F46C4A" w:rsidRDefault="00F46C4A" w:rsidP="00F46C4A">
      <w:pPr>
        <w:pStyle w:val="ListParagraph"/>
      </w:pPr>
      <w:r>
        <w:t>(a) Protect life and property</w:t>
      </w:r>
    </w:p>
    <w:p w14:paraId="30FF80A0" w14:textId="77777777" w:rsidR="00F46C4A" w:rsidRDefault="00F46C4A" w:rsidP="00F46C4A">
      <w:pPr>
        <w:pStyle w:val="ListParagraph"/>
      </w:pPr>
      <w:r>
        <w:t>(b) Preserve order and prevent threats to public security</w:t>
      </w:r>
    </w:p>
    <w:p w14:paraId="54F65516" w14:textId="77777777" w:rsidR="00F46C4A" w:rsidRDefault="00F46C4A" w:rsidP="00F46C4A">
      <w:pPr>
        <w:pStyle w:val="ListParagraph"/>
      </w:pPr>
      <w:r>
        <w:t>(c) Prevent and detect crime</w:t>
      </w:r>
    </w:p>
    <w:p w14:paraId="092B1A77" w14:textId="77777777" w:rsidR="00F46C4A" w:rsidRDefault="00F46C4A" w:rsidP="00F46C4A">
      <w:pPr>
        <w:pStyle w:val="ListParagraph"/>
      </w:pPr>
      <w:r>
        <w:t>(d) Bring offenders to justice</w:t>
      </w:r>
    </w:p>
    <w:p w14:paraId="11961131" w14:textId="270BDF02" w:rsidR="00F46C4A" w:rsidRDefault="00F46C4A" w:rsidP="00F46C4A">
      <w:pPr>
        <w:pStyle w:val="ListParagraph"/>
      </w:pPr>
      <w:r>
        <w:t>(e) Uphold national security</w:t>
      </w:r>
    </w:p>
    <w:p w14:paraId="70E462FA" w14:textId="362FCB53" w:rsidR="00F46C4A" w:rsidRDefault="00F46C4A" w:rsidP="00F46C4A">
      <w:pPr>
        <w:pStyle w:val="ListParagraph"/>
      </w:pPr>
      <w:r>
        <w:rPr>
          <w:noProof/>
        </w:rPr>
        <mc:AlternateContent>
          <mc:Choice Requires="wps">
            <w:drawing>
              <wp:anchor distT="0" distB="0" distL="114300" distR="114300" simplePos="0" relativeHeight="251646464" behindDoc="0" locked="0" layoutInCell="1" allowOverlap="1" wp14:anchorId="6297FE33" wp14:editId="14BA6EC9">
                <wp:simplePos x="0" y="0"/>
                <wp:positionH relativeFrom="column">
                  <wp:posOffset>446567</wp:posOffset>
                </wp:positionH>
                <wp:positionV relativeFrom="paragraph">
                  <wp:posOffset>189657</wp:posOffset>
                </wp:positionV>
                <wp:extent cx="5401340" cy="1924493"/>
                <wp:effectExtent l="0" t="0" r="27940" b="19050"/>
                <wp:wrapNone/>
                <wp:docPr id="165178624" name="Text Box 1"/>
                <wp:cNvGraphicFramePr/>
                <a:graphic xmlns:a="http://schemas.openxmlformats.org/drawingml/2006/main">
                  <a:graphicData uri="http://schemas.microsoft.com/office/word/2010/wordprocessingShape">
                    <wps:wsp>
                      <wps:cNvSpPr txBox="1"/>
                      <wps:spPr>
                        <a:xfrm>
                          <a:off x="0" y="0"/>
                          <a:ext cx="5401340" cy="1924493"/>
                        </a:xfrm>
                        <a:prstGeom prst="rect">
                          <a:avLst/>
                        </a:prstGeom>
                        <a:solidFill>
                          <a:schemeClr val="lt1"/>
                        </a:solidFill>
                        <a:ln w="6350">
                          <a:solidFill>
                            <a:prstClr val="black"/>
                          </a:solidFill>
                        </a:ln>
                      </wps:spPr>
                      <wps:txbx>
                        <w:txbxContent>
                          <w:p w14:paraId="21BD920D" w14:textId="24ACA7B2" w:rsidR="00F46C4A" w:rsidRDefault="00F46C4A">
                            <w:r w:rsidRPr="00F46C4A">
                              <w:rPr>
                                <w:b/>
                                <w:bCs/>
                              </w:rPr>
                              <w:t>Example:</w:t>
                            </w:r>
                            <w:r w:rsidRPr="00F46C4A">
                              <w:br/>
                              <w:t>Hertfordshire Constabulary has identified specific uses of LFR as a policing tactic, such as locating individuals who are wanted on outstanding warrants. In this context, deploying LFR technology to assist officers in promptly locating those evading arrest enables the Constabulary to fulfil its responsibility to protect life and property. Furthermore, this approach aligns with the Constabulary’s duty to bring offenders to justice by supporting a timely and effective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97FE33" id="Text Box 1" o:spid="_x0000_s1027" type="#_x0000_t202" style="position:absolute;left:0;text-align:left;margin-left:35.15pt;margin-top:14.95pt;width:425.3pt;height:151.5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" fillcolor="white [3201]" strokeweight=".5pt">
                <v:textbox>
                  <w:txbxContent>
                    <w:p w14:paraId="21BD920D" w14:textId="24ACA7B2" w:rsidR="00F46C4A" w:rsidRDefault="00F46C4A">
                      <w:r w:rsidRPr="00F46C4A">
                        <w:rPr>
                          <w:b/>
                          <w:bCs/>
                        </w:rPr>
                        <w:t>Example:</w:t>
                      </w:r>
                      <w:r w:rsidRPr="00F46C4A">
                        <w:br/>
                        <w:t>Hertfordshire Constabulary has identified specific uses of LFR as a policing tactic, such as locating individuals who are wanted on outstanding warrants. In this context, deploying LFR technology to assist officers in promptly locating those evading arrest enables the Constabulary to fulfil its responsibility to protect life and property. Furthermore, this approach aligns with the Constabulary’s duty to bring offenders to justice by supporting a timely and effective investigation.</w:t>
                      </w:r>
                    </w:p>
                  </w:txbxContent>
                </v:textbox>
              </v:shape>
            </w:pict>
          </mc:Fallback>
        </mc:AlternateContent>
      </w:r>
    </w:p>
    <w:p w14:paraId="03B7C4B5" w14:textId="77777777" w:rsidR="00F46C4A" w:rsidRPr="00F46C4A" w:rsidRDefault="00F46C4A" w:rsidP="00F46C4A">
      <w:pPr>
        <w:pStyle w:val="ListParagraph"/>
      </w:pPr>
    </w:p>
    <w:p w14:paraId="6F31BC59" w14:textId="77777777" w:rsidR="00F46C4A" w:rsidRDefault="00F46C4A" w:rsidP="00F46C4A"/>
    <w:p w14:paraId="07963A32" w14:textId="77777777" w:rsidR="00F46C4A" w:rsidRDefault="00F46C4A" w:rsidP="00F46C4A"/>
    <w:p w14:paraId="15A06F94" w14:textId="77777777" w:rsidR="00F46C4A" w:rsidRDefault="00F46C4A" w:rsidP="00F46C4A"/>
    <w:p w14:paraId="64B861AC" w14:textId="77777777" w:rsidR="00F46C4A" w:rsidRDefault="00F46C4A" w:rsidP="00F46C4A"/>
    <w:p w14:paraId="4AEBA0AA" w14:textId="77777777" w:rsidR="00F46C4A" w:rsidRDefault="00F46C4A" w:rsidP="00F46C4A"/>
    <w:p w14:paraId="548051AA" w14:textId="77777777" w:rsidR="00F46C4A" w:rsidRDefault="00F46C4A" w:rsidP="00F46C4A"/>
    <w:p w14:paraId="2DE80BBC" w14:textId="1AB7BB66" w:rsidR="00F46C4A" w:rsidRDefault="00F46C4A" w:rsidP="00F3679E">
      <w:pPr>
        <w:pStyle w:val="ListParagraph"/>
        <w:numPr>
          <w:ilvl w:val="1"/>
          <w:numId w:val="1"/>
        </w:numPr>
      </w:pPr>
      <w:r>
        <w:t>The use of Hertfordshire Constabulary’s common law powers as a legal basis to support the deployment of Live Facial Recognition (LFR) has been considered and recognised in the landmark ‘Bridges’ case, specifically:</w:t>
      </w:r>
    </w:p>
    <w:p w14:paraId="417A4144" w14:textId="77777777" w:rsidR="00F46C4A" w:rsidRDefault="00F46C4A" w:rsidP="00F46C4A">
      <w:pPr>
        <w:pStyle w:val="ListParagraph"/>
      </w:pPr>
    </w:p>
    <w:p w14:paraId="3A16F7CD" w14:textId="76E1E29D" w:rsidR="00F46C4A" w:rsidRDefault="00F46C4A" w:rsidP="00F46C4A">
      <w:pPr>
        <w:pStyle w:val="ListParagraph"/>
        <w:numPr>
          <w:ilvl w:val="0"/>
          <w:numId w:val="14"/>
        </w:numPr>
      </w:pPr>
      <w:r>
        <w:t>R (on the application of Edward Bridges) v The Chief Constable of South Wales Police [2019] EWHC 2341 (Admin) — the High Court Bridges decision; and subsequently on appeal,</w:t>
      </w:r>
    </w:p>
    <w:p w14:paraId="54D47D90" w14:textId="77777777" w:rsidR="00F46C4A" w:rsidRDefault="00F46C4A" w:rsidP="00F46C4A">
      <w:pPr>
        <w:pStyle w:val="ListParagraph"/>
        <w:ind w:left="1080"/>
      </w:pPr>
    </w:p>
    <w:p w14:paraId="2ACA9608" w14:textId="1BAF0784" w:rsidR="00F46C4A" w:rsidRDefault="00F46C4A" w:rsidP="00F46C4A">
      <w:pPr>
        <w:pStyle w:val="ListParagraph"/>
        <w:numPr>
          <w:ilvl w:val="0"/>
          <w:numId w:val="14"/>
        </w:numPr>
      </w:pPr>
      <w:r>
        <w:t xml:space="preserve"> R (on the application of Edward Bridges) v The Chief Constable of South Wales Police [2020] EWCA Civ 1058 — the Court of Appeal Bridges decision.</w:t>
      </w:r>
    </w:p>
    <w:p w14:paraId="1354D315" w14:textId="77777777" w:rsidR="00F46C4A" w:rsidRDefault="00F46C4A" w:rsidP="00F46C4A">
      <w:pPr>
        <w:pStyle w:val="ListParagraph"/>
      </w:pPr>
    </w:p>
    <w:p w14:paraId="215E073A" w14:textId="77777777" w:rsidR="00C759B8" w:rsidRDefault="00C759B8" w:rsidP="00F46C4A">
      <w:pPr>
        <w:pStyle w:val="ListParagraph"/>
      </w:pPr>
    </w:p>
    <w:p w14:paraId="7B646235" w14:textId="77777777" w:rsidR="00F46C4A" w:rsidRDefault="00F46C4A" w:rsidP="00F46C4A">
      <w:pPr>
        <w:pStyle w:val="ListParagraph"/>
        <w:ind w:left="1080"/>
        <w:rPr>
          <w:i/>
          <w:iCs/>
        </w:rPr>
      </w:pPr>
      <w:r w:rsidRPr="00F46C4A">
        <w:lastRenderedPageBreak/>
        <w:t xml:space="preserve">The Court of Appeal further clarified the legal basis for compiling Watchlists, stating that this activity is </w:t>
      </w:r>
      <w:r w:rsidRPr="00F46C4A">
        <w:rPr>
          <w:i/>
          <w:iCs/>
        </w:rPr>
        <w:t>“both authorised under the Police and Criminal Evidence Act 1984 and within the powers of police at common law.”</w:t>
      </w:r>
      <w:r w:rsidRPr="00F46C4A">
        <w:t xml:space="preserve"> The reference to the 1984 Act relates to imagery obtained under Section 64A </w:t>
      </w:r>
      <w:r w:rsidRPr="00F46C4A">
        <w:rPr>
          <w:i/>
          <w:iCs/>
        </w:rPr>
        <w:t>(Photographing of suspects etc.)</w:t>
      </w:r>
      <w:r w:rsidRPr="00F46C4A">
        <w:t xml:space="preserve">, particularly Section 64A(4)(a), which permits photographs taken under this section to be </w:t>
      </w:r>
      <w:r w:rsidRPr="00F46C4A">
        <w:rPr>
          <w:i/>
          <w:iCs/>
        </w:rPr>
        <w:t>“used … for any purpose related to the prevention or detection of crime, the investigation of an offence or the conduct of a prosecution or to the enforcement of a sentence.”</w:t>
      </w:r>
    </w:p>
    <w:p w14:paraId="78A61E08" w14:textId="77777777" w:rsidR="00C759B8" w:rsidRPr="00F46C4A" w:rsidRDefault="00C759B8" w:rsidP="00F46C4A">
      <w:pPr>
        <w:pStyle w:val="ListParagraph"/>
        <w:ind w:left="1080"/>
      </w:pPr>
    </w:p>
    <w:p w14:paraId="551897D2" w14:textId="432D4BA5" w:rsidR="00F46C4A" w:rsidRDefault="00F46C4A" w:rsidP="00F46C4A">
      <w:pPr>
        <w:pStyle w:val="ListParagraph"/>
        <w:ind w:left="1080"/>
      </w:pPr>
      <w:r w:rsidRPr="00F46C4A">
        <w:t>The Court of Appeal also noted:</w:t>
      </w:r>
      <w:r w:rsidRPr="00F46C4A">
        <w:br/>
      </w:r>
      <w:r w:rsidRPr="00F46C4A">
        <w:rPr>
          <w:i/>
          <w:iCs/>
        </w:rPr>
        <w:t xml:space="preserve">“This was not an issue which we have to address in this appeal, since it is now common ground that </w:t>
      </w:r>
      <w:r w:rsidRPr="00C759B8">
        <w:rPr>
          <w:i/>
          <w:iCs/>
        </w:rPr>
        <w:t xml:space="preserve">[Police] </w:t>
      </w:r>
      <w:r w:rsidRPr="00F46C4A">
        <w:rPr>
          <w:i/>
          <w:iCs/>
        </w:rPr>
        <w:t>do have the power to deploy [LFR].”</w:t>
      </w:r>
    </w:p>
    <w:p w14:paraId="5B74060E" w14:textId="7B50C2DF" w:rsidR="00C759B8" w:rsidRPr="00F46C4A" w:rsidRDefault="00C759B8" w:rsidP="00F46C4A">
      <w:pPr>
        <w:pStyle w:val="ListParagraph"/>
        <w:ind w:left="1080"/>
      </w:pPr>
      <w:r w:rsidRPr="00366213">
        <w:rPr>
          <w:rFonts w:ascii="Arial" w:hAnsi="Arial" w:cs="Arial"/>
          <w:noProof/>
          <w:sz w:val="17"/>
          <w:highlight w:val="yellow"/>
        </w:rPr>
        <mc:AlternateContent>
          <mc:Choice Requires="wps">
            <w:drawing>
              <wp:anchor distT="0" distB="0" distL="0" distR="0" simplePos="0" relativeHeight="251647488" behindDoc="1" locked="0" layoutInCell="1" allowOverlap="1" wp14:anchorId="6450EF1A" wp14:editId="0FF1AFA9">
                <wp:simplePos x="0" y="0"/>
                <wp:positionH relativeFrom="page">
                  <wp:posOffset>1282700</wp:posOffset>
                </wp:positionH>
                <wp:positionV relativeFrom="paragraph">
                  <wp:posOffset>6224270</wp:posOffset>
                </wp:positionV>
                <wp:extent cx="5360035" cy="69659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696595"/>
                        </a:xfrm>
                        <a:prstGeom prst="rect">
                          <a:avLst/>
                        </a:prstGeom>
                        <a:ln w="6108">
                          <a:solidFill>
                            <a:srgbClr val="000000"/>
                          </a:solidFill>
                          <a:prstDash val="solid"/>
                        </a:ln>
                      </wps:spPr>
                      <wps:txbx>
                        <w:txbxContent>
                          <w:p w14:paraId="0D191D8E" w14:textId="77777777" w:rsidR="00C759B8" w:rsidRPr="00366213" w:rsidRDefault="00C759B8" w:rsidP="00C759B8">
                            <w:pPr>
                              <w:pStyle w:val="BodyText"/>
                              <w:spacing w:before="37"/>
                              <w:ind w:left="102" w:right="99"/>
                              <w:jc w:val="both"/>
                            </w:pPr>
                            <w:r w:rsidRPr="00366213">
                              <w:rPr>
                                <w:b/>
                              </w:rPr>
                              <w:t xml:space="preserve">Authorising Officers: </w:t>
                            </w:r>
                            <w:r w:rsidRPr="00366213">
                              <w:t>When considering the use of LFR technology, must be clear as to the common law policing power that is relied upon for lawfully authorising the use of LFR and record this as part of the decision-making process.</w:t>
                            </w:r>
                          </w:p>
                        </w:txbxContent>
                      </wps:txbx>
                      <wps:bodyPr wrap="square" lIns="0" tIns="0" rIns="0" bIns="0" rtlCol="0">
                        <a:noAutofit/>
                      </wps:bodyPr>
                    </wps:wsp>
                  </a:graphicData>
                </a:graphic>
              </wp:anchor>
            </w:drawing>
          </mc:Choice>
          <mc:Fallback>
            <w:pict>
              <v:shape w14:anchorId="6450EF1A" id="Textbox 5" o:spid="_x0000_s1028" type="#_x0000_t202" style="position:absolute;left:0;text-align:left;margin-left:101pt;margin-top:490.1pt;width:422.05pt;height:54.8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" filled="f" strokeweight=".16967mm">
                <v:path arrowok="t"/>
                <v:textbox inset="0,0,0,0">
                  <w:txbxContent>
                    <w:p w14:paraId="0D191D8E" w14:textId="77777777" w:rsidR="00C759B8" w:rsidRPr="00366213" w:rsidRDefault="00C759B8" w:rsidP="00C759B8">
                      <w:pPr>
                        <w:pStyle w:val="BodyText"/>
                        <w:spacing w:before="37"/>
                        <w:ind w:left="102" w:right="99"/>
                        <w:jc w:val="both"/>
                      </w:pPr>
                      <w:r w:rsidRPr="00366213">
                        <w:rPr>
                          <w:b/>
                        </w:rPr>
                        <w:t xml:space="preserve">Authorising Officers: </w:t>
                      </w:r>
                      <w:r w:rsidRPr="00366213">
                        <w:t>When considering the use of LFR technology, must be clear as to the common law policing power that is relied upon for lawfully authorising the use of LFR and record this as part of the decision-making process.</w:t>
                      </w:r>
                    </w:p>
                  </w:txbxContent>
                </v:textbox>
                <w10:wrap type="topAndBottom" anchorx="page"/>
              </v:shape>
            </w:pict>
          </mc:Fallback>
        </mc:AlternateContent>
      </w:r>
    </w:p>
    <w:p w14:paraId="765532F8" w14:textId="4042E1E2" w:rsidR="00C759B8" w:rsidRDefault="00C759B8" w:rsidP="00C759B8">
      <w:pPr>
        <w:pStyle w:val="Heading1"/>
        <w:numPr>
          <w:ilvl w:val="0"/>
          <w:numId w:val="1"/>
        </w:numPr>
        <w:rPr>
          <w:sz w:val="36"/>
          <w:szCs w:val="36"/>
        </w:rPr>
      </w:pPr>
      <w:bookmarkStart w:id="2" w:name="_Toc216180220"/>
      <w:r>
        <w:rPr>
          <w:sz w:val="36"/>
          <w:szCs w:val="36"/>
        </w:rPr>
        <w:t>Police and Criminal Evidence Act 1984</w:t>
      </w:r>
      <w:bookmarkEnd w:id="2"/>
    </w:p>
    <w:p w14:paraId="1FB64E85" w14:textId="77777777" w:rsidR="00C759B8" w:rsidRDefault="00C759B8" w:rsidP="00C759B8">
      <w:pPr>
        <w:pStyle w:val="ListParagraph"/>
        <w:numPr>
          <w:ilvl w:val="1"/>
          <w:numId w:val="1"/>
        </w:numPr>
      </w:pPr>
      <w:r w:rsidRPr="00C759B8">
        <w:t>Section 64A of PACE provides the power to photograph individuals who are detained at a police station.</w:t>
      </w:r>
    </w:p>
    <w:p w14:paraId="4022E81B" w14:textId="55D67794" w:rsidR="00C759B8" w:rsidRDefault="00C759B8" w:rsidP="00C759B8">
      <w:pPr>
        <w:pStyle w:val="ListParagraph"/>
        <w:numPr>
          <w:ilvl w:val="1"/>
          <w:numId w:val="1"/>
        </w:numPr>
      </w:pPr>
      <w:r w:rsidRPr="00C759B8">
        <w:t>Under Section 64A(4)(a), photographs taken pursuant to this section may be “used for any purpose related to the prevention or detection of crime, the investigation of an offence, the conduct of a prosecution, or the enforcement of a sentence.”</w:t>
      </w:r>
    </w:p>
    <w:p w14:paraId="017C0C31" w14:textId="24A74525" w:rsidR="00C759B8" w:rsidRDefault="00C759B8" w:rsidP="00C759B8">
      <w:pPr>
        <w:pStyle w:val="Heading1"/>
        <w:numPr>
          <w:ilvl w:val="0"/>
          <w:numId w:val="1"/>
        </w:numPr>
        <w:rPr>
          <w:sz w:val="36"/>
          <w:szCs w:val="36"/>
        </w:rPr>
      </w:pPr>
      <w:bookmarkStart w:id="3" w:name="_Toc216180221"/>
      <w:r>
        <w:rPr>
          <w:sz w:val="36"/>
          <w:szCs w:val="36"/>
        </w:rPr>
        <w:t>Human Rights Act 1998</w:t>
      </w:r>
      <w:bookmarkEnd w:id="3"/>
    </w:p>
    <w:p w14:paraId="29B690B1" w14:textId="7218C09E" w:rsidR="00C759B8" w:rsidRDefault="00C759B8" w:rsidP="00C759B8">
      <w:pPr>
        <w:pStyle w:val="ListParagraph"/>
        <w:numPr>
          <w:ilvl w:val="1"/>
          <w:numId w:val="1"/>
        </w:numPr>
      </w:pPr>
      <w:r>
        <w:t>Hertfordshire Constabulary’s use of LFR must comply with the Human Rights Act 1998. The deployment of LFR technology engages the provisions of this Act and, in particular, has the potential to impact an individual’s Article 8 rights — the right to respect for private and family life.</w:t>
      </w:r>
    </w:p>
    <w:p w14:paraId="2724BC3A" w14:textId="77777777" w:rsidR="00C759B8" w:rsidRDefault="00C759B8" w:rsidP="00C759B8">
      <w:pPr>
        <w:pStyle w:val="ListParagraph"/>
      </w:pPr>
    </w:p>
    <w:p w14:paraId="1479AAD0" w14:textId="78E93F0D" w:rsidR="00C759B8" w:rsidRDefault="00C759B8" w:rsidP="00C759B8">
      <w:pPr>
        <w:pStyle w:val="ListParagraph"/>
      </w:pPr>
      <w:r>
        <w:t>Article 8 provides that:</w:t>
      </w:r>
    </w:p>
    <w:p w14:paraId="78F9DD2F" w14:textId="494FC65D" w:rsidR="00C759B8" w:rsidRDefault="00C759B8" w:rsidP="00C759B8">
      <w:pPr>
        <w:pStyle w:val="ListParagraph"/>
      </w:pPr>
      <w: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14:paraId="2B74656F" w14:textId="77777777" w:rsidR="009D5B16" w:rsidRDefault="009D5B16" w:rsidP="00C759B8">
      <w:pPr>
        <w:pStyle w:val="ListParagraph"/>
      </w:pPr>
    </w:p>
    <w:p w14:paraId="1BD907A0" w14:textId="77777777" w:rsidR="00C759B8" w:rsidRDefault="00C759B8" w:rsidP="00C759B8">
      <w:pPr>
        <w:pStyle w:val="ListParagraph"/>
        <w:numPr>
          <w:ilvl w:val="1"/>
          <w:numId w:val="1"/>
        </w:numPr>
      </w:pPr>
      <w:r>
        <w:lastRenderedPageBreak/>
        <w:t>As a qualified right, any interference with an individual’s Article 8 rights is only permissible if:</w:t>
      </w:r>
    </w:p>
    <w:p w14:paraId="7DFFD4D4" w14:textId="77777777" w:rsidR="00C759B8" w:rsidRDefault="00C759B8" w:rsidP="00C759B8">
      <w:pPr>
        <w:pStyle w:val="ListParagraph"/>
        <w:numPr>
          <w:ilvl w:val="0"/>
          <w:numId w:val="15"/>
        </w:numPr>
      </w:pPr>
      <w:r>
        <w:t>there is a legal basis for the interference with the qualified right that the public can understand;</w:t>
      </w:r>
    </w:p>
    <w:p w14:paraId="55598E7F" w14:textId="77777777" w:rsidR="00C759B8" w:rsidRDefault="00C759B8" w:rsidP="00C759B8">
      <w:pPr>
        <w:pStyle w:val="ListParagraph"/>
        <w:numPr>
          <w:ilvl w:val="0"/>
          <w:numId w:val="15"/>
        </w:numPr>
      </w:pPr>
      <w:r>
        <w:t>the use of LFR seeks to achieve the legitimate aim;</w:t>
      </w:r>
    </w:p>
    <w:p w14:paraId="0D5325C4" w14:textId="77777777" w:rsidR="00C759B8" w:rsidRDefault="00C759B8" w:rsidP="00C759B8">
      <w:pPr>
        <w:pStyle w:val="ListParagraph"/>
        <w:numPr>
          <w:ilvl w:val="0"/>
          <w:numId w:val="15"/>
        </w:numPr>
      </w:pPr>
      <w:r>
        <w:t>it is necessary for the purposes of that aim in a democratic society; and</w:t>
      </w:r>
    </w:p>
    <w:p w14:paraId="0D5BB755" w14:textId="4E39753B" w:rsidR="00C759B8" w:rsidRDefault="00C759B8" w:rsidP="00C759B8">
      <w:pPr>
        <w:pStyle w:val="ListParagraph"/>
        <w:numPr>
          <w:ilvl w:val="0"/>
          <w:numId w:val="15"/>
        </w:numPr>
      </w:pPr>
      <w:r>
        <w:t>the use of LFR is proportionate to the legitimate aim being sought.</w:t>
      </w:r>
    </w:p>
    <w:p w14:paraId="18E712EF" w14:textId="77777777" w:rsidR="00C759B8" w:rsidRDefault="00C759B8" w:rsidP="00C759B8">
      <w:pPr>
        <w:pStyle w:val="ListParagraph"/>
      </w:pPr>
    </w:p>
    <w:p w14:paraId="54417018" w14:textId="668C443E" w:rsidR="00F370E0" w:rsidRDefault="00C759B8" w:rsidP="00F370E0">
      <w:pPr>
        <w:pStyle w:val="ListParagraph"/>
        <w:numPr>
          <w:ilvl w:val="1"/>
          <w:numId w:val="1"/>
        </w:numPr>
      </w:pPr>
      <w:r w:rsidRPr="00C759B8">
        <w:t xml:space="preserve">It is well-established that the reach of Article 8 can be broad. The case of </w:t>
      </w:r>
      <w:r w:rsidRPr="00C759B8">
        <w:rPr>
          <w:i/>
          <w:iCs/>
        </w:rPr>
        <w:t>S v. United Kingdom</w:t>
      </w:r>
      <w:r w:rsidR="00F370E0">
        <w:rPr>
          <w:i/>
          <w:iCs/>
        </w:rPr>
        <w:t>1</w:t>
      </w:r>
      <w:r w:rsidRPr="00C759B8">
        <w:t xml:space="preserve"> confirms that this can relate to a person’s right to their biometric data and any storing of data relating to it. Recognising that LFR involves biometric processing, that case went on to recognise that, in protecting the personal data and other forms of biometric processing, the interests of the data subject and the community as a whole “may be outweighed by the legitimate interest in the prevention of crime”.</w:t>
      </w:r>
    </w:p>
    <w:p w14:paraId="55EA699C" w14:textId="2FA2C62B" w:rsidR="009D5B16" w:rsidRDefault="009D5B16" w:rsidP="009D5B16">
      <w:pPr>
        <w:rPr>
          <w:i/>
          <w:iCs/>
          <w:sz w:val="20"/>
          <w:szCs w:val="20"/>
        </w:rPr>
      </w:pPr>
    </w:p>
    <w:p w14:paraId="04AD434F" w14:textId="1E7043F6" w:rsidR="00F370E0" w:rsidRDefault="00F370E0" w:rsidP="00F370E0">
      <w:pPr>
        <w:pStyle w:val="NoSpacing"/>
        <w:numPr>
          <w:ilvl w:val="1"/>
          <w:numId w:val="1"/>
        </w:numPr>
      </w:pPr>
      <w:r>
        <w:t>The High Court and Court of Appeal Bridges cases examined Article 8 specifically in the context of LFR technology and confirmed that Article 8 is engaged in two key circumstances:</w:t>
      </w:r>
    </w:p>
    <w:p w14:paraId="0A976BCA" w14:textId="77777777" w:rsidR="00F370E0" w:rsidRPr="00F370E0" w:rsidRDefault="00F370E0" w:rsidP="00F370E0">
      <w:pPr>
        <w:pStyle w:val="NoSpacing"/>
        <w:ind w:left="720"/>
        <w:rPr>
          <w:i/>
          <w:iCs/>
        </w:rPr>
      </w:pPr>
      <w:r w:rsidRPr="00F370E0">
        <w:rPr>
          <w:i/>
          <w:iCs/>
        </w:rPr>
        <w:t>When an individual passes through the Zone of Recognition; and</w:t>
      </w:r>
    </w:p>
    <w:p w14:paraId="21409777" w14:textId="77777777" w:rsidR="00F370E0" w:rsidRPr="00F370E0" w:rsidRDefault="00F370E0" w:rsidP="00F370E0">
      <w:pPr>
        <w:pStyle w:val="NoSpacing"/>
        <w:ind w:left="720"/>
        <w:rPr>
          <w:i/>
          <w:iCs/>
        </w:rPr>
      </w:pPr>
      <w:r w:rsidRPr="00F370E0">
        <w:rPr>
          <w:i/>
          <w:iCs/>
        </w:rPr>
        <w:t>When an individual is placed on an LFR Watchlist for a deployment.</w:t>
      </w:r>
    </w:p>
    <w:p w14:paraId="714D8C2C" w14:textId="3747D457" w:rsidR="00F370E0" w:rsidRDefault="00F370E0" w:rsidP="00F370E0">
      <w:pPr>
        <w:pStyle w:val="NoSpacing"/>
        <w:ind w:left="720"/>
      </w:pPr>
    </w:p>
    <w:p w14:paraId="3E619F7C" w14:textId="6F7CD021" w:rsidR="00F370E0" w:rsidRDefault="00F370E0" w:rsidP="00F370E0">
      <w:pPr>
        <w:pStyle w:val="NoSpacing"/>
        <w:ind w:left="720"/>
      </w:pPr>
      <w:r>
        <w:t>Depending on the nature of the deployment, the former Surveillance Camera Commissioner has also identified potential impacts on other human rights, including:</w:t>
      </w:r>
    </w:p>
    <w:p w14:paraId="23AEE9E6" w14:textId="0DA06681" w:rsidR="00F370E0" w:rsidRPr="00F370E0" w:rsidRDefault="00F370E0" w:rsidP="00F370E0">
      <w:pPr>
        <w:pStyle w:val="NoSpacing"/>
        <w:ind w:left="720"/>
        <w:rPr>
          <w:i/>
          <w:iCs/>
        </w:rPr>
      </w:pPr>
      <w:r w:rsidRPr="00F370E0">
        <w:rPr>
          <w:i/>
          <w:iCs/>
        </w:rPr>
        <w:t>The right to freedom of assembly;</w:t>
      </w:r>
    </w:p>
    <w:p w14:paraId="25A229F9" w14:textId="77777777" w:rsidR="00F370E0" w:rsidRPr="00F370E0" w:rsidRDefault="00F370E0" w:rsidP="00F370E0">
      <w:pPr>
        <w:pStyle w:val="NoSpacing"/>
        <w:ind w:left="720"/>
        <w:rPr>
          <w:i/>
          <w:iCs/>
        </w:rPr>
      </w:pPr>
      <w:r w:rsidRPr="00F370E0">
        <w:rPr>
          <w:i/>
          <w:iCs/>
        </w:rPr>
        <w:t>Freedom of thought, belief, and religion;</w:t>
      </w:r>
    </w:p>
    <w:p w14:paraId="44FFB3CC" w14:textId="77777777" w:rsidR="00F370E0" w:rsidRPr="00F370E0" w:rsidRDefault="00F370E0" w:rsidP="00F370E0">
      <w:pPr>
        <w:pStyle w:val="NoSpacing"/>
        <w:ind w:left="720"/>
        <w:rPr>
          <w:i/>
          <w:iCs/>
        </w:rPr>
      </w:pPr>
      <w:r w:rsidRPr="00F370E0">
        <w:rPr>
          <w:i/>
          <w:iCs/>
        </w:rPr>
        <w:t>Freedom of expression;</w:t>
      </w:r>
    </w:p>
    <w:p w14:paraId="07B260F1" w14:textId="77777777" w:rsidR="00F370E0" w:rsidRPr="00F370E0" w:rsidRDefault="00F370E0" w:rsidP="00F370E0">
      <w:pPr>
        <w:pStyle w:val="NoSpacing"/>
        <w:ind w:left="720"/>
        <w:rPr>
          <w:i/>
          <w:iCs/>
        </w:rPr>
      </w:pPr>
      <w:r w:rsidRPr="00F370E0">
        <w:rPr>
          <w:i/>
          <w:iCs/>
        </w:rPr>
        <w:t>Freedom of association; and</w:t>
      </w:r>
    </w:p>
    <w:p w14:paraId="2EB9CEBE" w14:textId="786ADFA6" w:rsidR="00F370E0" w:rsidRPr="00F370E0" w:rsidRDefault="00F370E0" w:rsidP="00F370E0">
      <w:pPr>
        <w:pStyle w:val="NoSpacing"/>
        <w:ind w:left="720"/>
        <w:rPr>
          <w:i/>
          <w:iCs/>
        </w:rPr>
      </w:pPr>
      <w:r w:rsidRPr="00F370E0">
        <w:rPr>
          <w:i/>
          <w:iCs/>
        </w:rPr>
        <w:t>Protection against discrimination in respect of these rights and freedoms.</w:t>
      </w:r>
    </w:p>
    <w:p w14:paraId="268FA36A" w14:textId="77777777" w:rsidR="00F370E0" w:rsidRDefault="00F370E0" w:rsidP="00F370E0">
      <w:pPr>
        <w:pStyle w:val="NoSpacing"/>
        <w:ind w:left="720"/>
      </w:pPr>
    </w:p>
    <w:p w14:paraId="26A358B4" w14:textId="293D0FB0" w:rsidR="00F370E0" w:rsidRDefault="00F370E0" w:rsidP="00F370E0">
      <w:pPr>
        <w:pStyle w:val="NoSpacing"/>
        <w:ind w:left="720"/>
      </w:pPr>
      <w:r>
        <w:t>Authorising Officers should contact Hertfordshire Constabulary Special Legal Casework if they believe a proposed deployment may raise broader human rights considerations.</w:t>
      </w:r>
    </w:p>
    <w:p w14:paraId="48BCCF8C" w14:textId="77777777" w:rsidR="009D5B16" w:rsidRDefault="009D5B16" w:rsidP="00F370E0">
      <w:pPr>
        <w:pStyle w:val="NoSpacing"/>
        <w:ind w:left="720"/>
      </w:pPr>
    </w:p>
    <w:p w14:paraId="6DF84FD3" w14:textId="77777777" w:rsidR="009D5B16" w:rsidRDefault="009D5B16" w:rsidP="00F370E0">
      <w:pPr>
        <w:pStyle w:val="NoSpacing"/>
        <w:ind w:left="720"/>
      </w:pPr>
    </w:p>
    <w:p w14:paraId="35ACE9E5" w14:textId="77777777" w:rsidR="009D5B16" w:rsidRDefault="009D5B16" w:rsidP="00F370E0">
      <w:pPr>
        <w:pStyle w:val="NoSpacing"/>
        <w:ind w:left="720"/>
      </w:pPr>
    </w:p>
    <w:p w14:paraId="1DC546D1" w14:textId="77777777" w:rsidR="009D5B16" w:rsidRDefault="009D5B16" w:rsidP="00F370E0">
      <w:pPr>
        <w:pStyle w:val="NoSpacing"/>
        <w:ind w:left="720"/>
      </w:pPr>
    </w:p>
    <w:p w14:paraId="42305F2B" w14:textId="22A07CF3" w:rsidR="009D5B16" w:rsidRDefault="009D5B16" w:rsidP="00F370E0">
      <w:pPr>
        <w:pStyle w:val="NoSpacing"/>
        <w:ind w:left="720"/>
      </w:pPr>
    </w:p>
    <w:p w14:paraId="5AF0929A" w14:textId="5F68CACC" w:rsidR="009D5B16" w:rsidRDefault="009D5B16" w:rsidP="00F370E0">
      <w:pPr>
        <w:pStyle w:val="NoSpacing"/>
        <w:ind w:left="720"/>
      </w:pPr>
      <w:r w:rsidRPr="00366213">
        <w:rPr>
          <w:rFonts w:ascii="Arial" w:hAnsi="Arial" w:cs="Arial"/>
          <w:noProof/>
          <w:sz w:val="20"/>
          <w:highlight w:val="yellow"/>
        </w:rPr>
        <mc:AlternateContent>
          <mc:Choice Requires="wps">
            <w:drawing>
              <wp:anchor distT="0" distB="0" distL="0" distR="0" simplePos="0" relativeHeight="251648512" behindDoc="1" locked="0" layoutInCell="1" allowOverlap="1" wp14:anchorId="3B82674F" wp14:editId="06B1D72C">
                <wp:simplePos x="0" y="0"/>
                <wp:positionH relativeFrom="page">
                  <wp:posOffset>876300</wp:posOffset>
                </wp:positionH>
                <wp:positionV relativeFrom="paragraph">
                  <wp:posOffset>234950</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F686EA" id="Graphic 6" o:spid="_x0000_s1026" style="position:absolute;margin-left:69pt;margin-top:18.5pt;width:2in;height:.75pt;z-index:-2516679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" path="m1828800,l,,,9144r1828800,l1828800,xe" fillcolor="black" stroked="f">
                <v:path arrowok="t"/>
                <w10:wrap type="topAndBottom" anchorx="page"/>
              </v:shape>
            </w:pict>
          </mc:Fallback>
        </mc:AlternateContent>
      </w:r>
    </w:p>
    <w:p w14:paraId="11954002" w14:textId="77777777" w:rsidR="005E238A" w:rsidRPr="005E238A" w:rsidRDefault="005E238A" w:rsidP="005E238A">
      <w:pPr>
        <w:pStyle w:val="NoSpacing"/>
        <w:rPr>
          <w:i/>
          <w:iCs/>
          <w:sz w:val="20"/>
          <w:szCs w:val="20"/>
        </w:rPr>
      </w:pPr>
      <w:r w:rsidRPr="005E238A">
        <w:rPr>
          <w:i/>
          <w:iCs/>
          <w:sz w:val="20"/>
          <w:szCs w:val="20"/>
        </w:rPr>
        <w:t>1 (2009) 48 EHRR 50, at [66 and 67]</w:t>
      </w:r>
    </w:p>
    <w:p w14:paraId="299B4B4D" w14:textId="25C54D18" w:rsidR="005E238A" w:rsidRPr="005E238A" w:rsidRDefault="005E238A" w:rsidP="005E238A">
      <w:pPr>
        <w:pStyle w:val="NoSpacing"/>
        <w:rPr>
          <w:i/>
          <w:iCs/>
          <w:sz w:val="20"/>
          <w:szCs w:val="20"/>
        </w:rPr>
      </w:pPr>
      <w:r w:rsidRPr="005E238A">
        <w:rPr>
          <w:i/>
          <w:iCs/>
          <w:sz w:val="20"/>
          <w:szCs w:val="20"/>
        </w:rPr>
        <w:t>2 At [104]</w:t>
      </w:r>
    </w:p>
    <w:p w14:paraId="5B80A0A2" w14:textId="77777777" w:rsidR="005E238A" w:rsidRDefault="005E238A" w:rsidP="00F370E0">
      <w:pPr>
        <w:pStyle w:val="NoSpacing"/>
        <w:ind w:left="720"/>
      </w:pPr>
    </w:p>
    <w:p w14:paraId="47C3589E" w14:textId="77777777" w:rsidR="005E238A" w:rsidRDefault="005E238A" w:rsidP="00F370E0">
      <w:pPr>
        <w:pStyle w:val="NoSpacing"/>
        <w:ind w:left="720"/>
      </w:pPr>
    </w:p>
    <w:p w14:paraId="1C0CE4E9" w14:textId="57D2BB2A" w:rsidR="00A91531" w:rsidRPr="00A91531" w:rsidRDefault="00A91531" w:rsidP="00473D63">
      <w:pPr>
        <w:pStyle w:val="NoSpacing"/>
        <w:numPr>
          <w:ilvl w:val="1"/>
          <w:numId w:val="1"/>
        </w:numPr>
      </w:pPr>
      <w:r w:rsidRPr="00A91531">
        <w:rPr>
          <w:b/>
          <w:bCs/>
        </w:rPr>
        <w:lastRenderedPageBreak/>
        <w:t xml:space="preserve">Legal Basis for Interference </w:t>
      </w:r>
    </w:p>
    <w:p w14:paraId="0E1DBC40" w14:textId="2468B15C" w:rsidR="008A4D6F" w:rsidRDefault="008A4D6F" w:rsidP="00A91531">
      <w:pPr>
        <w:pStyle w:val="NoSpacing"/>
        <w:ind w:left="720"/>
      </w:pPr>
      <w:r>
        <w:t>There is a clear legal basis for any interference with qualified rights under Article 8 of the Human Rights Act 1998, which the public can understand. LFR is deployed by Hertfordshire Constabulary to discharge established operational duties under common law, supported by statutory and administrative safeguards such as the Data Protection Act 2018 and relevant guidance.</w:t>
      </w:r>
    </w:p>
    <w:p w14:paraId="249F0669" w14:textId="753283DA" w:rsidR="003C62DE" w:rsidRDefault="008A4D6F" w:rsidP="008A4D6F">
      <w:pPr>
        <w:pStyle w:val="NoSpacing"/>
        <w:ind w:left="720"/>
      </w:pPr>
      <w:r>
        <w:t xml:space="preserve">Courts have confirmed that police powers to collect and use photographs for crime prevention, detection, and investigation are lawful, provided they are used proportionately and for legitimate policing </w:t>
      </w:r>
      <w:r w:rsidR="008A2DB9">
        <w:t>purposes. ²</w:t>
      </w:r>
    </w:p>
    <w:p w14:paraId="33681694" w14:textId="77777777" w:rsidR="008A4D6F" w:rsidRDefault="008A4D6F" w:rsidP="008A4D6F">
      <w:pPr>
        <w:pStyle w:val="NoSpacing"/>
        <w:ind w:left="720"/>
      </w:pPr>
    </w:p>
    <w:p w14:paraId="69F5EFAB" w14:textId="7354C7A8" w:rsidR="004C5A60" w:rsidRPr="00A91531" w:rsidRDefault="00A91531" w:rsidP="00D54D65">
      <w:pPr>
        <w:pStyle w:val="NoSpacing"/>
        <w:numPr>
          <w:ilvl w:val="1"/>
          <w:numId w:val="1"/>
        </w:numPr>
      </w:pPr>
      <w:r>
        <w:rPr>
          <w:b/>
          <w:bCs/>
        </w:rPr>
        <w:t xml:space="preserve">Judicial Confirmation of Sufficiency </w:t>
      </w:r>
    </w:p>
    <w:p w14:paraId="1CDBDF3B" w14:textId="4BE8742A" w:rsidR="00841EBD" w:rsidRDefault="00841EBD" w:rsidP="00841EBD">
      <w:pPr>
        <w:pStyle w:val="NoSpacing"/>
        <w:ind w:left="720"/>
      </w:pPr>
      <w:r w:rsidRPr="00841EBD">
        <w:t xml:space="preserve">The High Court and Court of Appeal in Bridges confirmed that common law powers are “amply sufficient” for LFR deployment and that the existing legal framework contains safeguards enabling proportionality to be </w:t>
      </w:r>
      <w:r w:rsidR="008A2DB9" w:rsidRPr="00841EBD">
        <w:t>assessed. ¹</w:t>
      </w:r>
      <w:r w:rsidRPr="00841EBD">
        <w:t xml:space="preserve"> The courts also confirmed that new statutory powers are not required for this purpose.</w:t>
      </w:r>
    </w:p>
    <w:p w14:paraId="018D57C7" w14:textId="77777777" w:rsidR="00841EBD" w:rsidRPr="00841EBD" w:rsidRDefault="00841EBD" w:rsidP="00841EBD">
      <w:pPr>
        <w:pStyle w:val="NoSpacing"/>
        <w:ind w:left="720"/>
        <w:rPr>
          <w:b/>
          <w:bCs/>
        </w:rPr>
      </w:pPr>
    </w:p>
    <w:p w14:paraId="6B364A98" w14:textId="1E0CAE49" w:rsidR="004C5A60" w:rsidRPr="00A91531" w:rsidRDefault="00A91531" w:rsidP="00D54D65">
      <w:pPr>
        <w:pStyle w:val="NoSpacing"/>
        <w:numPr>
          <w:ilvl w:val="1"/>
          <w:numId w:val="1"/>
        </w:numPr>
      </w:pPr>
      <w:r>
        <w:rPr>
          <w:b/>
          <w:bCs/>
        </w:rPr>
        <w:t>Accessibility and Foreseeability</w:t>
      </w:r>
    </w:p>
    <w:p w14:paraId="75AECB15" w14:textId="30C5F066" w:rsidR="008A4D6F" w:rsidRDefault="00841EBD" w:rsidP="00D54D65">
      <w:pPr>
        <w:pStyle w:val="ListParagraph"/>
      </w:pPr>
      <w:r w:rsidRPr="00841EBD">
        <w:t xml:space="preserve">To meet the ‘in accordance with the law’ test under Article 8, the legal framework must be accessible and foreseeable, meaning published, comprehensible, and not subject to overly broad discretion. The Court of Appeal emphasised that individuals should be able to understand the provisions and foresee their </w:t>
      </w:r>
      <w:r w:rsidR="008A2DB9" w:rsidRPr="00841EBD">
        <w:t>consequences. ¹</w:t>
      </w:r>
    </w:p>
    <w:p w14:paraId="100B136A" w14:textId="7A323F24" w:rsidR="004C5A60" w:rsidRPr="00A91531" w:rsidRDefault="00A91531" w:rsidP="00E76A4F">
      <w:pPr>
        <w:pStyle w:val="NoSpacing"/>
        <w:numPr>
          <w:ilvl w:val="1"/>
          <w:numId w:val="1"/>
        </w:numPr>
      </w:pPr>
      <w:r>
        <w:rPr>
          <w:b/>
          <w:bCs/>
        </w:rPr>
        <w:t>Operation Discretion – The ‘Who’ and ‘Where’ Questions</w:t>
      </w:r>
    </w:p>
    <w:p w14:paraId="21A3C181" w14:textId="1889776F" w:rsidR="00C50619" w:rsidRDefault="00C50619" w:rsidP="00C50619">
      <w:pPr>
        <w:pStyle w:val="NoSpacing"/>
        <w:ind w:left="720"/>
      </w:pPr>
      <w:r>
        <w:t>The ‘Who Question’ – Criteria for inclusion on a Watchlist must be clear and objective. Hertfordshire Constabulary addresses this in its published LFR SOP, defining terms such as “risk of harm” and linking inclusion to necessity and proportionality. The Court of Appeal criticised overly broad categories such as “other persons where intelligence is required” as failing the accessibility and foreseeability test. ¹</w:t>
      </w:r>
    </w:p>
    <w:p w14:paraId="125CF11E" w14:textId="77777777" w:rsidR="00C50619" w:rsidRDefault="00C50619" w:rsidP="00C50619">
      <w:pPr>
        <w:pStyle w:val="NoSpacing"/>
        <w:ind w:left="720"/>
      </w:pPr>
    </w:p>
    <w:p w14:paraId="22434530" w14:textId="534AF2CD" w:rsidR="00C50619" w:rsidRDefault="00C50619" w:rsidP="00C50619">
      <w:pPr>
        <w:pStyle w:val="NoSpacing"/>
        <w:ind w:left="720"/>
      </w:pPr>
      <w:r>
        <w:t>The ‘Where Question’ – Deployment locations must be justified based on operational need, privacy considerations, and policing objectives. The Court of Appeal noted the absence of clear criteria in South Wales Police’s approach. ¹</w:t>
      </w:r>
    </w:p>
    <w:p w14:paraId="09C1F551" w14:textId="77777777" w:rsidR="00C50619" w:rsidRDefault="00C50619" w:rsidP="00C50619">
      <w:pPr>
        <w:pStyle w:val="NoSpacing"/>
        <w:ind w:left="720"/>
      </w:pPr>
    </w:p>
    <w:p w14:paraId="0A0DC166" w14:textId="70ECE4B6" w:rsidR="006804F2" w:rsidRDefault="00C50619" w:rsidP="00C50619">
      <w:pPr>
        <w:pStyle w:val="NoSpacing"/>
        <w:ind w:left="720"/>
      </w:pPr>
      <w:r>
        <w:t>Together with the Bridges decisions and Hertfordshire Constabulary’s published LFR documentation, these measures ensure transparency and predictability for the public regarding authorisation processes, deployment locations, and Watchlist criteria.</w:t>
      </w:r>
    </w:p>
    <w:p w14:paraId="30102A9A" w14:textId="77777777" w:rsidR="005E238A" w:rsidRDefault="005E238A" w:rsidP="005E238A">
      <w:pPr>
        <w:pStyle w:val="NoSpacing"/>
      </w:pPr>
    </w:p>
    <w:p w14:paraId="4BAC1FA0" w14:textId="77777777" w:rsidR="005E238A" w:rsidRDefault="005E238A" w:rsidP="00C50619">
      <w:pPr>
        <w:pStyle w:val="NoSpacing"/>
        <w:ind w:left="720"/>
      </w:pPr>
    </w:p>
    <w:p w14:paraId="3E4BA252" w14:textId="77777777" w:rsidR="005E238A" w:rsidRDefault="005E238A" w:rsidP="005E238A">
      <w:pPr>
        <w:pStyle w:val="ListParagraph"/>
      </w:pPr>
      <w:r w:rsidRPr="00366213">
        <w:rPr>
          <w:rFonts w:ascii="Arial" w:hAnsi="Arial" w:cs="Arial"/>
          <w:noProof/>
          <w:sz w:val="20"/>
          <w:highlight w:val="yellow"/>
        </w:rPr>
        <mc:AlternateContent>
          <mc:Choice Requires="wps">
            <w:drawing>
              <wp:anchor distT="0" distB="0" distL="0" distR="0" simplePos="0" relativeHeight="251668992" behindDoc="1" locked="0" layoutInCell="1" allowOverlap="1" wp14:anchorId="4D29F303" wp14:editId="5D5C9C78">
                <wp:simplePos x="0" y="0"/>
                <wp:positionH relativeFrom="margin">
                  <wp:posOffset>-650</wp:posOffset>
                </wp:positionH>
                <wp:positionV relativeFrom="paragraph">
                  <wp:posOffset>234093</wp:posOffset>
                </wp:positionV>
                <wp:extent cx="1828800" cy="9525"/>
                <wp:effectExtent l="0" t="0" r="0" b="0"/>
                <wp:wrapTopAndBottom/>
                <wp:docPr id="66762312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C2523" id="Graphic 6" o:spid="_x0000_s1026" style="position:absolute;margin-left:-.05pt;margin-top:18.45pt;width:2in;height:.75pt;z-index:-251647488;visibility:visible;mso-wrap-style:square;mso-wrap-distance-left:0;mso-wrap-distance-top:0;mso-wrap-distance-right:0;mso-wrap-distance-bottom:0;mso-position-horizontal:absolute;mso-position-horizontal-relative:margin;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" path="m1828800,l,,,9144r1828800,l1828800,xe" fillcolor="black" stroked="f">
                <v:path arrowok="t"/>
                <w10:wrap type="topAndBottom" anchorx="margin"/>
              </v:shape>
            </w:pict>
          </mc:Fallback>
        </mc:AlternateContent>
      </w:r>
    </w:p>
    <w:p w14:paraId="3AE6F18E" w14:textId="68AC6003" w:rsidR="00C50619" w:rsidRDefault="005E238A" w:rsidP="005E238A">
      <w:r w:rsidRPr="008A2DB9">
        <w:rPr>
          <w:sz w:val="20"/>
          <w:szCs w:val="20"/>
        </w:rPr>
        <w:t xml:space="preserve">¹ </w:t>
      </w:r>
      <w:r w:rsidRPr="008A2DB9">
        <w:rPr>
          <w:i/>
          <w:iCs/>
          <w:sz w:val="20"/>
          <w:szCs w:val="20"/>
        </w:rPr>
        <w:t>R (Bridges) v Chief Constable of South Wales Police</w:t>
      </w:r>
      <w:r w:rsidRPr="008A2DB9">
        <w:rPr>
          <w:sz w:val="20"/>
          <w:szCs w:val="20"/>
        </w:rPr>
        <w:t xml:space="preserve"> [2019] EWHC 2341 (Admin); [2020] EWCA Civ 1058.</w:t>
      </w:r>
      <w:r w:rsidRPr="008A2DB9">
        <w:rPr>
          <w:sz w:val="20"/>
          <w:szCs w:val="20"/>
        </w:rPr>
        <w:br/>
        <w:t xml:space="preserve">² </w:t>
      </w:r>
      <w:r w:rsidRPr="008A2DB9">
        <w:rPr>
          <w:i/>
          <w:iCs/>
          <w:sz w:val="20"/>
          <w:szCs w:val="20"/>
        </w:rPr>
        <w:t>Hellewell v Chief Constable of Derbyshire</w:t>
      </w:r>
      <w:r w:rsidRPr="008A2DB9">
        <w:rPr>
          <w:sz w:val="20"/>
          <w:szCs w:val="20"/>
        </w:rPr>
        <w:t xml:space="preserve"> [1995] 1 WLR 804 at 810F.</w:t>
      </w:r>
      <w:r w:rsidRPr="008A2DB9">
        <w:rPr>
          <w:sz w:val="20"/>
          <w:szCs w:val="20"/>
        </w:rPr>
        <w:br/>
        <w:t xml:space="preserve">³ </w:t>
      </w:r>
      <w:r w:rsidRPr="008A2DB9">
        <w:rPr>
          <w:i/>
          <w:iCs/>
          <w:sz w:val="20"/>
          <w:szCs w:val="20"/>
        </w:rPr>
        <w:t>R (Catt) v Association of Chief Police Officers</w:t>
      </w:r>
      <w:r w:rsidRPr="008A2DB9">
        <w:rPr>
          <w:sz w:val="20"/>
          <w:szCs w:val="20"/>
        </w:rPr>
        <w:t xml:space="preserve"> [2015] AC 1065 at [11].</w:t>
      </w:r>
    </w:p>
    <w:p w14:paraId="0CFC78FA" w14:textId="77777777" w:rsidR="00FB6495" w:rsidRDefault="00FB6495" w:rsidP="006804F2">
      <w:pPr>
        <w:pStyle w:val="NoSpacing"/>
        <w:numPr>
          <w:ilvl w:val="1"/>
          <w:numId w:val="1"/>
        </w:numPr>
      </w:pPr>
      <w:r>
        <w:rPr>
          <w:b/>
          <w:bCs/>
        </w:rPr>
        <w:lastRenderedPageBreak/>
        <w:t>Legitimate Aim</w:t>
      </w:r>
    </w:p>
    <w:p w14:paraId="428840FC" w14:textId="36121848" w:rsidR="006804F2" w:rsidRDefault="00FB6495" w:rsidP="00FB6495">
      <w:pPr>
        <w:pStyle w:val="NoSpacing"/>
        <w:ind w:left="720"/>
      </w:pPr>
      <w:r w:rsidRPr="00366213">
        <w:rPr>
          <w:rFonts w:ascii="Arial" w:hAnsi="Arial" w:cs="Arial"/>
          <w:noProof/>
          <w:sz w:val="20"/>
        </w:rPr>
        <mc:AlternateContent>
          <mc:Choice Requires="wps">
            <w:drawing>
              <wp:anchor distT="0" distB="0" distL="0" distR="0" simplePos="0" relativeHeight="251651584" behindDoc="1" locked="0" layoutInCell="1" allowOverlap="1" wp14:anchorId="30C146EE" wp14:editId="6F3A4690">
                <wp:simplePos x="0" y="0"/>
                <wp:positionH relativeFrom="margin">
                  <wp:align>right</wp:align>
                </wp:positionH>
                <wp:positionV relativeFrom="paragraph">
                  <wp:posOffset>1109345</wp:posOffset>
                </wp:positionV>
                <wp:extent cx="5360035" cy="1035685"/>
                <wp:effectExtent l="0" t="0" r="12065" b="12065"/>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1035685"/>
                        </a:xfrm>
                        <a:prstGeom prst="rect">
                          <a:avLst/>
                        </a:prstGeom>
                        <a:ln w="6108">
                          <a:solidFill>
                            <a:srgbClr val="000000"/>
                          </a:solidFill>
                          <a:prstDash val="solid"/>
                        </a:ln>
                      </wps:spPr>
                      <wps:txbx>
                        <w:txbxContent>
                          <w:p w14:paraId="73A52169" w14:textId="7A7DC9A8" w:rsidR="002E5932" w:rsidRPr="00366213" w:rsidRDefault="002E5932" w:rsidP="002E5932">
                            <w:pPr>
                              <w:pStyle w:val="BodyText"/>
                              <w:spacing w:before="39"/>
                              <w:ind w:left="103" w:right="99"/>
                              <w:jc w:val="both"/>
                            </w:pPr>
                            <w:r w:rsidRPr="00366213">
                              <w:rPr>
                                <w:b/>
                              </w:rPr>
                              <w:t xml:space="preserve">Authorising Officers: </w:t>
                            </w:r>
                            <w:r w:rsidRPr="00366213">
                              <w:t>At the point that it is decided to deploy LFR, the decision maker must be</w:t>
                            </w:r>
                            <w:r w:rsidRPr="00366213">
                              <w:rPr>
                                <w:spacing w:val="-13"/>
                              </w:rPr>
                              <w:t xml:space="preserve"> </w:t>
                            </w:r>
                            <w:r w:rsidRPr="00366213">
                              <w:t>clear</w:t>
                            </w:r>
                            <w:r w:rsidRPr="00366213">
                              <w:rPr>
                                <w:spacing w:val="-12"/>
                              </w:rPr>
                              <w:t xml:space="preserve"> </w:t>
                            </w:r>
                            <w:r w:rsidRPr="00366213">
                              <w:t>as</w:t>
                            </w:r>
                            <w:r w:rsidRPr="00366213">
                              <w:rPr>
                                <w:spacing w:val="-13"/>
                              </w:rPr>
                              <w:t xml:space="preserve"> </w:t>
                            </w:r>
                            <w:r w:rsidRPr="00366213">
                              <w:t>to</w:t>
                            </w:r>
                            <w:r w:rsidRPr="00366213">
                              <w:rPr>
                                <w:spacing w:val="-12"/>
                              </w:rPr>
                              <w:t xml:space="preserve"> </w:t>
                            </w:r>
                            <w:r w:rsidRPr="00366213">
                              <w:t>its</w:t>
                            </w:r>
                            <w:r w:rsidRPr="00366213">
                              <w:rPr>
                                <w:spacing w:val="-13"/>
                              </w:rPr>
                              <w:t xml:space="preserve"> </w:t>
                            </w:r>
                            <w:r w:rsidRPr="00366213">
                              <w:t>purpose</w:t>
                            </w:r>
                            <w:r w:rsidRPr="00366213">
                              <w:rPr>
                                <w:spacing w:val="-12"/>
                              </w:rPr>
                              <w:t xml:space="preserve"> </w:t>
                            </w:r>
                            <w:r w:rsidRPr="00366213">
                              <w:t>and</w:t>
                            </w:r>
                            <w:r w:rsidRPr="00366213">
                              <w:rPr>
                                <w:spacing w:val="-13"/>
                              </w:rPr>
                              <w:t xml:space="preserve"> </w:t>
                            </w:r>
                            <w:r w:rsidRPr="00366213">
                              <w:t>how</w:t>
                            </w:r>
                            <w:r w:rsidRPr="00366213">
                              <w:rPr>
                                <w:spacing w:val="-12"/>
                              </w:rPr>
                              <w:t xml:space="preserve"> </w:t>
                            </w:r>
                            <w:r w:rsidRPr="00366213">
                              <w:t>using</w:t>
                            </w:r>
                            <w:r w:rsidRPr="00366213">
                              <w:rPr>
                                <w:spacing w:val="-12"/>
                              </w:rPr>
                              <w:t xml:space="preserve"> </w:t>
                            </w:r>
                            <w:r w:rsidRPr="00366213">
                              <w:t>LFR</w:t>
                            </w:r>
                            <w:r w:rsidRPr="00366213">
                              <w:rPr>
                                <w:spacing w:val="-13"/>
                              </w:rPr>
                              <w:t xml:space="preserve"> </w:t>
                            </w:r>
                            <w:r w:rsidRPr="00366213">
                              <w:t>will</w:t>
                            </w:r>
                            <w:r w:rsidRPr="00366213">
                              <w:rPr>
                                <w:spacing w:val="-12"/>
                              </w:rPr>
                              <w:t xml:space="preserve"> </w:t>
                            </w:r>
                            <w:r w:rsidRPr="00366213">
                              <w:t>help</w:t>
                            </w:r>
                            <w:r w:rsidRPr="00366213">
                              <w:rPr>
                                <w:spacing w:val="-13"/>
                              </w:rPr>
                              <w:t xml:space="preserve"> </w:t>
                            </w:r>
                            <w:r>
                              <w:t>Hertfordshire Constabulary</w:t>
                            </w:r>
                            <w:r w:rsidRPr="00366213">
                              <w:rPr>
                                <w:spacing w:val="-12"/>
                              </w:rPr>
                              <w:t xml:space="preserve"> </w:t>
                            </w:r>
                            <w:r w:rsidRPr="00366213">
                              <w:t>realise</w:t>
                            </w:r>
                            <w:r w:rsidRPr="00366213">
                              <w:rPr>
                                <w:spacing w:val="-13"/>
                              </w:rPr>
                              <w:t xml:space="preserve"> </w:t>
                            </w:r>
                            <w:r w:rsidRPr="00366213">
                              <w:t>a</w:t>
                            </w:r>
                            <w:r w:rsidRPr="00366213">
                              <w:rPr>
                                <w:spacing w:val="-12"/>
                              </w:rPr>
                              <w:t xml:space="preserve"> </w:t>
                            </w:r>
                            <w:r w:rsidRPr="00366213">
                              <w:t>legitimate</w:t>
                            </w:r>
                            <w:r w:rsidRPr="00366213">
                              <w:rPr>
                                <w:spacing w:val="-12"/>
                              </w:rPr>
                              <w:t xml:space="preserve"> </w:t>
                            </w:r>
                            <w:r w:rsidRPr="00366213">
                              <w:t>aim.</w:t>
                            </w:r>
                            <w:r w:rsidRPr="00366213">
                              <w:rPr>
                                <w:spacing w:val="-9"/>
                              </w:rPr>
                              <w:t xml:space="preserve"> </w:t>
                            </w:r>
                            <w:r w:rsidRPr="00366213">
                              <w:t>In</w:t>
                            </w:r>
                            <w:r w:rsidRPr="00366213">
                              <w:rPr>
                                <w:spacing w:val="-13"/>
                              </w:rPr>
                              <w:t xml:space="preserve"> </w:t>
                            </w:r>
                            <w:r w:rsidRPr="00366213">
                              <w:t>deciding if the use of LFR is a suitable way to achieve a legitimate aim, the decision maker must consider if benefits of using LFR justify its use for the legitimate aim when compared to any impact on the individual’s Article 8 Rights.</w:t>
                            </w:r>
                          </w:p>
                        </w:txbxContent>
                      </wps:txbx>
                      <wps:bodyPr wrap="square" lIns="0" tIns="0" rIns="0" bIns="0" rtlCol="0">
                        <a:noAutofit/>
                      </wps:bodyPr>
                    </wps:wsp>
                  </a:graphicData>
                </a:graphic>
              </wp:anchor>
            </w:drawing>
          </mc:Choice>
          <mc:Fallback>
            <w:pict>
              <v:shape w14:anchorId="30C146EE" id="Textbox 12" o:spid="_x0000_s1029" type="#_x0000_t202" style="position:absolute;left:0;text-align:left;margin-left:370.85pt;margin-top:87.35pt;width:422.05pt;height:81.55pt;z-index:-25166489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" filled="f" strokeweight=".16967mm">
                <v:path arrowok="t"/>
                <v:textbox inset="0,0,0,0">
                  <w:txbxContent>
                    <w:p w14:paraId="73A52169" w14:textId="7A7DC9A8" w:rsidR="002E5932" w:rsidRPr="00366213" w:rsidRDefault="002E5932" w:rsidP="002E5932">
                      <w:pPr>
                        <w:pStyle w:val="BodyText"/>
                        <w:spacing w:before="39"/>
                        <w:ind w:left="103" w:right="99"/>
                        <w:jc w:val="both"/>
                      </w:pPr>
                      <w:r w:rsidRPr="00366213">
                        <w:rPr>
                          <w:b/>
                        </w:rPr>
                        <w:t xml:space="preserve">Authorising Officers: </w:t>
                      </w:r>
                      <w:r w:rsidRPr="00366213">
                        <w:t>At the point that it is decided to deploy LFR, the decision maker must be</w:t>
                      </w:r>
                      <w:r w:rsidRPr="00366213">
                        <w:rPr>
                          <w:spacing w:val="-13"/>
                        </w:rPr>
                        <w:t xml:space="preserve"> </w:t>
                      </w:r>
                      <w:r w:rsidRPr="00366213">
                        <w:t>clear</w:t>
                      </w:r>
                      <w:r w:rsidRPr="00366213">
                        <w:rPr>
                          <w:spacing w:val="-12"/>
                        </w:rPr>
                        <w:t xml:space="preserve"> </w:t>
                      </w:r>
                      <w:r w:rsidRPr="00366213">
                        <w:t>as</w:t>
                      </w:r>
                      <w:r w:rsidRPr="00366213">
                        <w:rPr>
                          <w:spacing w:val="-13"/>
                        </w:rPr>
                        <w:t xml:space="preserve"> </w:t>
                      </w:r>
                      <w:r w:rsidRPr="00366213">
                        <w:t>to</w:t>
                      </w:r>
                      <w:r w:rsidRPr="00366213">
                        <w:rPr>
                          <w:spacing w:val="-12"/>
                        </w:rPr>
                        <w:t xml:space="preserve"> </w:t>
                      </w:r>
                      <w:r w:rsidRPr="00366213">
                        <w:t>its</w:t>
                      </w:r>
                      <w:r w:rsidRPr="00366213">
                        <w:rPr>
                          <w:spacing w:val="-13"/>
                        </w:rPr>
                        <w:t xml:space="preserve"> </w:t>
                      </w:r>
                      <w:r w:rsidRPr="00366213">
                        <w:t>purpose</w:t>
                      </w:r>
                      <w:r w:rsidRPr="00366213">
                        <w:rPr>
                          <w:spacing w:val="-12"/>
                        </w:rPr>
                        <w:t xml:space="preserve"> </w:t>
                      </w:r>
                      <w:r w:rsidRPr="00366213">
                        <w:t>and</w:t>
                      </w:r>
                      <w:r w:rsidRPr="00366213">
                        <w:rPr>
                          <w:spacing w:val="-13"/>
                        </w:rPr>
                        <w:t xml:space="preserve"> </w:t>
                      </w:r>
                      <w:r w:rsidRPr="00366213">
                        <w:t>how</w:t>
                      </w:r>
                      <w:r w:rsidRPr="00366213">
                        <w:rPr>
                          <w:spacing w:val="-12"/>
                        </w:rPr>
                        <w:t xml:space="preserve"> </w:t>
                      </w:r>
                      <w:r w:rsidRPr="00366213">
                        <w:t>using</w:t>
                      </w:r>
                      <w:r w:rsidRPr="00366213">
                        <w:rPr>
                          <w:spacing w:val="-12"/>
                        </w:rPr>
                        <w:t xml:space="preserve"> </w:t>
                      </w:r>
                      <w:r w:rsidRPr="00366213">
                        <w:t>LFR</w:t>
                      </w:r>
                      <w:r w:rsidRPr="00366213">
                        <w:rPr>
                          <w:spacing w:val="-13"/>
                        </w:rPr>
                        <w:t xml:space="preserve"> </w:t>
                      </w:r>
                      <w:r w:rsidRPr="00366213">
                        <w:t>will</w:t>
                      </w:r>
                      <w:r w:rsidRPr="00366213">
                        <w:rPr>
                          <w:spacing w:val="-12"/>
                        </w:rPr>
                        <w:t xml:space="preserve"> </w:t>
                      </w:r>
                      <w:r w:rsidRPr="00366213">
                        <w:t>help</w:t>
                      </w:r>
                      <w:r w:rsidRPr="00366213">
                        <w:rPr>
                          <w:spacing w:val="-13"/>
                        </w:rPr>
                        <w:t xml:space="preserve"> </w:t>
                      </w:r>
                      <w:r>
                        <w:t>Hertfordshire Constabulary</w:t>
                      </w:r>
                      <w:r w:rsidRPr="00366213">
                        <w:rPr>
                          <w:spacing w:val="-12"/>
                        </w:rPr>
                        <w:t xml:space="preserve"> </w:t>
                      </w:r>
                      <w:r w:rsidRPr="00366213">
                        <w:t>realise</w:t>
                      </w:r>
                      <w:r w:rsidRPr="00366213">
                        <w:rPr>
                          <w:spacing w:val="-13"/>
                        </w:rPr>
                        <w:t xml:space="preserve"> </w:t>
                      </w:r>
                      <w:r w:rsidRPr="00366213">
                        <w:t>a</w:t>
                      </w:r>
                      <w:r w:rsidRPr="00366213">
                        <w:rPr>
                          <w:spacing w:val="-12"/>
                        </w:rPr>
                        <w:t xml:space="preserve"> </w:t>
                      </w:r>
                      <w:r w:rsidRPr="00366213">
                        <w:t>legitimate</w:t>
                      </w:r>
                      <w:r w:rsidRPr="00366213">
                        <w:rPr>
                          <w:spacing w:val="-12"/>
                        </w:rPr>
                        <w:t xml:space="preserve"> </w:t>
                      </w:r>
                      <w:r w:rsidRPr="00366213">
                        <w:t>aim.</w:t>
                      </w:r>
                      <w:r w:rsidRPr="00366213">
                        <w:rPr>
                          <w:spacing w:val="-9"/>
                        </w:rPr>
                        <w:t xml:space="preserve"> </w:t>
                      </w:r>
                      <w:r w:rsidRPr="00366213">
                        <w:t>In</w:t>
                      </w:r>
                      <w:r w:rsidRPr="00366213">
                        <w:rPr>
                          <w:spacing w:val="-13"/>
                        </w:rPr>
                        <w:t xml:space="preserve"> </w:t>
                      </w:r>
                      <w:r w:rsidRPr="00366213">
                        <w:t>deciding if the use of LFR is a suitable way to achieve a legitimate aim, the decision maker must consider if benefits of using LFR justify its use for the legitimate aim when compared to any impact on the individual’s Article 8 Rights.</w:t>
                      </w:r>
                    </w:p>
                  </w:txbxContent>
                </v:textbox>
                <w10:wrap type="topAndBottom" anchorx="margin"/>
              </v:shape>
            </w:pict>
          </mc:Fallback>
        </mc:AlternateContent>
      </w:r>
      <w:r w:rsidRPr="00FB6495">
        <w:t>The use of LFR pursues a legitimate aim under Article 8, including national security, public safety, and crime prevention. Operational decisions will be guided by law and policy, ranging from locating wanted individuals or those posing a risk of harm to proactive measures that enhance community reassurance and enable precision policing. ³</w:t>
      </w:r>
    </w:p>
    <w:p w14:paraId="146B8C1D" w14:textId="7413C8FA" w:rsidR="006804F2" w:rsidRDefault="006804F2" w:rsidP="006804F2">
      <w:pPr>
        <w:pStyle w:val="NoSpacing"/>
      </w:pPr>
    </w:p>
    <w:p w14:paraId="250239BA" w14:textId="3F64E2DE" w:rsidR="00C71805" w:rsidRDefault="00C71805" w:rsidP="00962447">
      <w:pPr>
        <w:pStyle w:val="NoSpacing"/>
        <w:numPr>
          <w:ilvl w:val="1"/>
          <w:numId w:val="1"/>
        </w:numPr>
      </w:pPr>
      <w:r>
        <w:rPr>
          <w:b/>
          <w:bCs/>
        </w:rPr>
        <w:t>Necessity in a Democratic Society</w:t>
      </w:r>
    </w:p>
    <w:p w14:paraId="0B858CE8" w14:textId="2781435E" w:rsidR="00C50619" w:rsidRDefault="00FB09D2" w:rsidP="00C71805">
      <w:pPr>
        <w:pStyle w:val="NoSpacing"/>
        <w:ind w:left="720"/>
      </w:pPr>
      <w:r w:rsidRPr="00FB09D2">
        <w:t>The use of LFR is necessary for achieving a legitimate aim in a democratic society. LFR will be deployed in response to a pressing social need, assisting Hertfordshire Constabulary in combating crime in areas where the technology has the greatest potential to help. It is a tool that enables the Constabulary to discharge its operational responsibilities, primarily by preventing and detecting crime and protecting the most vulnerable. ¹</w:t>
      </w:r>
    </w:p>
    <w:p w14:paraId="2EC99804" w14:textId="77777777" w:rsidR="00FB09D2" w:rsidRDefault="00FB09D2" w:rsidP="00FB09D2">
      <w:pPr>
        <w:pStyle w:val="NoSpacing"/>
        <w:ind w:left="720"/>
      </w:pPr>
    </w:p>
    <w:p w14:paraId="1E3DB72E" w14:textId="77777777" w:rsidR="00C50619" w:rsidRDefault="00C50619" w:rsidP="00E76A4F">
      <w:pPr>
        <w:pStyle w:val="NoSpacing"/>
        <w:ind w:left="720"/>
      </w:pPr>
    </w:p>
    <w:p w14:paraId="31324B88" w14:textId="77777777" w:rsidR="00C50619" w:rsidRDefault="00C50619" w:rsidP="00E76A4F">
      <w:pPr>
        <w:pStyle w:val="NoSpacing"/>
        <w:ind w:left="720"/>
      </w:pPr>
    </w:p>
    <w:p w14:paraId="0237F859" w14:textId="77777777" w:rsidR="00C50619" w:rsidRDefault="00C50619" w:rsidP="00E76A4F">
      <w:pPr>
        <w:pStyle w:val="NoSpacing"/>
        <w:ind w:left="720"/>
      </w:pPr>
    </w:p>
    <w:p w14:paraId="28330635" w14:textId="0E77BECA" w:rsidR="00E76A4F" w:rsidRDefault="00E76A4F" w:rsidP="00E76A4F">
      <w:pPr>
        <w:pStyle w:val="NoSpacing"/>
        <w:ind w:left="720"/>
      </w:pPr>
    </w:p>
    <w:p w14:paraId="000C9050" w14:textId="77777777" w:rsidR="00AB4CA9" w:rsidRDefault="00AB4CA9" w:rsidP="00E76A4F">
      <w:pPr>
        <w:pStyle w:val="NoSpacing"/>
        <w:ind w:left="720"/>
      </w:pPr>
    </w:p>
    <w:p w14:paraId="5BE55122" w14:textId="77777777" w:rsidR="00AB4CA9" w:rsidRDefault="00AB4CA9" w:rsidP="00E76A4F">
      <w:pPr>
        <w:pStyle w:val="NoSpacing"/>
        <w:ind w:left="720"/>
      </w:pPr>
    </w:p>
    <w:p w14:paraId="01A2FB55" w14:textId="77777777" w:rsidR="00AB4CA9" w:rsidRDefault="00AB4CA9" w:rsidP="00E76A4F">
      <w:pPr>
        <w:pStyle w:val="NoSpacing"/>
        <w:ind w:left="720"/>
      </w:pPr>
    </w:p>
    <w:p w14:paraId="1C356C9D" w14:textId="77777777" w:rsidR="00AB4CA9" w:rsidRDefault="00AB4CA9" w:rsidP="00E76A4F">
      <w:pPr>
        <w:pStyle w:val="NoSpacing"/>
        <w:ind w:left="720"/>
      </w:pPr>
    </w:p>
    <w:p w14:paraId="02DB2E08" w14:textId="77777777" w:rsidR="00AB4CA9" w:rsidRDefault="00AB4CA9" w:rsidP="00E76A4F">
      <w:pPr>
        <w:pStyle w:val="NoSpacing"/>
        <w:ind w:left="720"/>
      </w:pPr>
    </w:p>
    <w:p w14:paraId="6216B93A" w14:textId="77777777" w:rsidR="00AB4CA9" w:rsidRDefault="00AB4CA9" w:rsidP="00E76A4F">
      <w:pPr>
        <w:pStyle w:val="NoSpacing"/>
        <w:ind w:left="720"/>
      </w:pPr>
    </w:p>
    <w:p w14:paraId="7B4EE13D" w14:textId="77777777" w:rsidR="00AB4CA9" w:rsidRDefault="00AB4CA9" w:rsidP="00E76A4F">
      <w:pPr>
        <w:pStyle w:val="NoSpacing"/>
        <w:ind w:left="720"/>
      </w:pPr>
    </w:p>
    <w:p w14:paraId="243C648E" w14:textId="77777777" w:rsidR="00AB4CA9" w:rsidRDefault="00AB4CA9" w:rsidP="00E76A4F">
      <w:pPr>
        <w:pStyle w:val="NoSpacing"/>
        <w:ind w:left="720"/>
      </w:pPr>
    </w:p>
    <w:p w14:paraId="2B3A98B2" w14:textId="77777777" w:rsidR="00AB4CA9" w:rsidRDefault="00AB4CA9" w:rsidP="00E76A4F">
      <w:pPr>
        <w:pStyle w:val="NoSpacing"/>
        <w:ind w:left="720"/>
      </w:pPr>
    </w:p>
    <w:p w14:paraId="6F79E4FA" w14:textId="77777777" w:rsidR="00AB4CA9" w:rsidRDefault="00AB4CA9" w:rsidP="00E76A4F">
      <w:pPr>
        <w:pStyle w:val="NoSpacing"/>
        <w:ind w:left="720"/>
      </w:pPr>
    </w:p>
    <w:p w14:paraId="16019CE1" w14:textId="77777777" w:rsidR="00AB4CA9" w:rsidRDefault="00AB4CA9" w:rsidP="00E76A4F">
      <w:pPr>
        <w:pStyle w:val="NoSpacing"/>
        <w:ind w:left="720"/>
      </w:pPr>
    </w:p>
    <w:p w14:paraId="39D90F70" w14:textId="77777777" w:rsidR="00AB4CA9" w:rsidRDefault="00AB4CA9" w:rsidP="00E76A4F">
      <w:pPr>
        <w:pStyle w:val="NoSpacing"/>
        <w:ind w:left="720"/>
      </w:pPr>
    </w:p>
    <w:p w14:paraId="373A102C" w14:textId="77777777" w:rsidR="00AB4CA9" w:rsidRDefault="00AB4CA9" w:rsidP="00E76A4F">
      <w:pPr>
        <w:pStyle w:val="NoSpacing"/>
        <w:ind w:left="720"/>
      </w:pPr>
    </w:p>
    <w:p w14:paraId="7E942B61" w14:textId="77777777" w:rsidR="00AB4CA9" w:rsidRDefault="00AB4CA9" w:rsidP="00E76A4F">
      <w:pPr>
        <w:pStyle w:val="NoSpacing"/>
        <w:ind w:left="720"/>
      </w:pPr>
    </w:p>
    <w:p w14:paraId="67B40FC3" w14:textId="77777777" w:rsidR="00AB4CA9" w:rsidRDefault="00AB4CA9" w:rsidP="00E76A4F">
      <w:pPr>
        <w:pStyle w:val="NoSpacing"/>
        <w:ind w:left="720"/>
      </w:pPr>
    </w:p>
    <w:p w14:paraId="4606C4F1" w14:textId="77777777" w:rsidR="00AB4CA9" w:rsidRDefault="00AB4CA9" w:rsidP="00E76A4F">
      <w:pPr>
        <w:pStyle w:val="NoSpacing"/>
        <w:ind w:left="720"/>
      </w:pPr>
    </w:p>
    <w:p w14:paraId="4BD5B858" w14:textId="77777777" w:rsidR="00AB4CA9" w:rsidRDefault="00AB4CA9" w:rsidP="00E76A4F">
      <w:pPr>
        <w:pStyle w:val="NoSpacing"/>
        <w:ind w:left="720"/>
      </w:pPr>
    </w:p>
    <w:p w14:paraId="58BB486A" w14:textId="77777777" w:rsidR="00C50619" w:rsidRDefault="00C50619" w:rsidP="00C50619">
      <w:pPr>
        <w:pStyle w:val="ListParagraph"/>
      </w:pPr>
      <w:r w:rsidRPr="00366213">
        <w:rPr>
          <w:rFonts w:ascii="Arial" w:hAnsi="Arial" w:cs="Arial"/>
          <w:noProof/>
          <w:sz w:val="20"/>
          <w:highlight w:val="yellow"/>
        </w:rPr>
        <mc:AlternateContent>
          <mc:Choice Requires="wps">
            <w:drawing>
              <wp:anchor distT="0" distB="0" distL="0" distR="0" simplePos="0" relativeHeight="251652608" behindDoc="1" locked="0" layoutInCell="1" allowOverlap="1" wp14:anchorId="612CEA6A" wp14:editId="1329CCE3">
                <wp:simplePos x="0" y="0"/>
                <wp:positionH relativeFrom="margin">
                  <wp:posOffset>-650</wp:posOffset>
                </wp:positionH>
                <wp:positionV relativeFrom="paragraph">
                  <wp:posOffset>234093</wp:posOffset>
                </wp:positionV>
                <wp:extent cx="1828800" cy="9525"/>
                <wp:effectExtent l="0" t="0" r="0" b="0"/>
                <wp:wrapTopAndBottom/>
                <wp:docPr id="31114464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9BDA4" id="Graphic 6" o:spid="_x0000_s1026" style="position:absolute;margin-left:-.05pt;margin-top:18.45pt;width:2in;height:.75pt;z-index:-251663872;visibility:visible;mso-wrap-style:square;mso-wrap-distance-left:0;mso-wrap-distance-top:0;mso-wrap-distance-right:0;mso-wrap-distance-bottom:0;mso-position-horizontal:absolute;mso-position-horizontal-relative:margin;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" path="m1828800,l,,,9144r1828800,l1828800,xe" fillcolor="black" stroked="f">
                <v:path arrowok="t"/>
                <w10:wrap type="topAndBottom" anchorx="margin"/>
              </v:shape>
            </w:pict>
          </mc:Fallback>
        </mc:AlternateContent>
      </w:r>
    </w:p>
    <w:p w14:paraId="23D5EE8A" w14:textId="77777777" w:rsidR="00C50619" w:rsidRPr="008A2DB9" w:rsidRDefault="00C50619" w:rsidP="00C50619">
      <w:pPr>
        <w:rPr>
          <w:sz w:val="20"/>
          <w:szCs w:val="20"/>
        </w:rPr>
      </w:pPr>
      <w:r w:rsidRPr="008A2DB9">
        <w:rPr>
          <w:sz w:val="20"/>
          <w:szCs w:val="20"/>
        </w:rPr>
        <w:t xml:space="preserve">¹ </w:t>
      </w:r>
      <w:r w:rsidRPr="008A2DB9">
        <w:rPr>
          <w:i/>
          <w:iCs/>
          <w:sz w:val="20"/>
          <w:szCs w:val="20"/>
        </w:rPr>
        <w:t>R (Bridges) v Chief Constable of South Wales Police</w:t>
      </w:r>
      <w:r w:rsidRPr="008A2DB9">
        <w:rPr>
          <w:sz w:val="20"/>
          <w:szCs w:val="20"/>
        </w:rPr>
        <w:t xml:space="preserve"> [2019] EWHC 2341 (Admin); [2020] EWCA Civ 1058.</w:t>
      </w:r>
      <w:r w:rsidRPr="008A2DB9">
        <w:rPr>
          <w:sz w:val="20"/>
          <w:szCs w:val="20"/>
        </w:rPr>
        <w:br/>
        <w:t xml:space="preserve">² </w:t>
      </w:r>
      <w:r w:rsidRPr="008A2DB9">
        <w:rPr>
          <w:i/>
          <w:iCs/>
          <w:sz w:val="20"/>
          <w:szCs w:val="20"/>
        </w:rPr>
        <w:t>Hellewell v Chief Constable of Derbyshire</w:t>
      </w:r>
      <w:r w:rsidRPr="008A2DB9">
        <w:rPr>
          <w:sz w:val="20"/>
          <w:szCs w:val="20"/>
        </w:rPr>
        <w:t xml:space="preserve"> [1995] 1 WLR 804 at 810F.</w:t>
      </w:r>
      <w:r w:rsidRPr="008A2DB9">
        <w:rPr>
          <w:sz w:val="20"/>
          <w:szCs w:val="20"/>
        </w:rPr>
        <w:br/>
        <w:t xml:space="preserve">³ </w:t>
      </w:r>
      <w:r w:rsidRPr="008A2DB9">
        <w:rPr>
          <w:i/>
          <w:iCs/>
          <w:sz w:val="20"/>
          <w:szCs w:val="20"/>
        </w:rPr>
        <w:t>R (Catt) v Association of Chief Police Officers</w:t>
      </w:r>
      <w:r w:rsidRPr="008A2DB9">
        <w:rPr>
          <w:sz w:val="20"/>
          <w:szCs w:val="20"/>
        </w:rPr>
        <w:t xml:space="preserve"> [2015] AC 1065 at [11].</w:t>
      </w:r>
    </w:p>
    <w:p w14:paraId="60FEDEAD" w14:textId="429D540E" w:rsidR="00564B43" w:rsidRDefault="00F06FA3" w:rsidP="0046658E">
      <w:pPr>
        <w:pStyle w:val="NoSpacing"/>
      </w:pPr>
      <w:r w:rsidRPr="00F06FA3">
        <w:lastRenderedPageBreak/>
        <w:t>The following examples illustrate scenarios where LFR may be deployed as a necessary tool to assist Hertfordshire Constabulary in preventing crime and disorder. These examples are indicative only; there may be other circumstances where the use of LFR is justified in accordance with legal and policy requirements.</w:t>
      </w:r>
    </w:p>
    <w:p w14:paraId="154DCF0C" w14:textId="13CEB6DA" w:rsidR="00C12A24" w:rsidRDefault="0046658E" w:rsidP="00F06FA3">
      <w:pPr>
        <w:pStyle w:val="NoSpacing"/>
      </w:pPr>
      <w:r>
        <w:rPr>
          <w:noProof/>
        </w:rPr>
        <mc:AlternateContent>
          <mc:Choice Requires="wps">
            <w:drawing>
              <wp:anchor distT="0" distB="0" distL="114300" distR="114300" simplePos="0" relativeHeight="251653632" behindDoc="0" locked="0" layoutInCell="1" allowOverlap="1" wp14:anchorId="7285447D" wp14:editId="6C624F2B">
                <wp:simplePos x="0" y="0"/>
                <wp:positionH relativeFrom="margin">
                  <wp:align>left</wp:align>
                </wp:positionH>
                <wp:positionV relativeFrom="paragraph">
                  <wp:posOffset>180812</wp:posOffset>
                </wp:positionV>
                <wp:extent cx="5401310" cy="2690037"/>
                <wp:effectExtent l="0" t="0" r="27940" b="15240"/>
                <wp:wrapNone/>
                <wp:docPr id="446784930" name="Text Box 1"/>
                <wp:cNvGraphicFramePr/>
                <a:graphic xmlns:a="http://schemas.openxmlformats.org/drawingml/2006/main">
                  <a:graphicData uri="http://schemas.microsoft.com/office/word/2010/wordprocessingShape">
                    <wps:wsp>
                      <wps:cNvSpPr txBox="1"/>
                      <wps:spPr>
                        <a:xfrm>
                          <a:off x="0" y="0"/>
                          <a:ext cx="5401310" cy="2690037"/>
                        </a:xfrm>
                        <a:prstGeom prst="rect">
                          <a:avLst/>
                        </a:prstGeom>
                        <a:solidFill>
                          <a:schemeClr val="lt1"/>
                        </a:solidFill>
                        <a:ln w="6350">
                          <a:solidFill>
                            <a:prstClr val="black"/>
                          </a:solidFill>
                        </a:ln>
                      </wps:spPr>
                      <wps:txbx>
                        <w:txbxContent>
                          <w:p w14:paraId="79D3C1EE" w14:textId="56ECCF87" w:rsidR="0046658E" w:rsidRPr="00D04321" w:rsidRDefault="00D04321" w:rsidP="0046658E">
                            <w:pPr>
                              <w:rPr>
                                <w:sz w:val="22"/>
                                <w:szCs w:val="22"/>
                              </w:rPr>
                            </w:pPr>
                            <w:r w:rsidRPr="00D04321">
                              <w:rPr>
                                <w:b/>
                                <w:bCs/>
                                <w:sz w:val="22"/>
                                <w:szCs w:val="22"/>
                              </w:rPr>
                              <w:t xml:space="preserve">Child Sexual Abuse: </w:t>
                            </w:r>
                            <w:r w:rsidR="0046658E" w:rsidRPr="00D04321">
                              <w:rPr>
                                <w:sz w:val="22"/>
                                <w:szCs w:val="22"/>
                              </w:rPr>
                              <w:t>LFR can assist Hertfordshire Constabulary in tackling child sexual abuse by enabling the identification and location of vulnerable individuals who are missing and believed to be at risk. Deployment may occur based on intelligence or at large public events known to attract sexual predators, helping to prevent harm and safeguard potential victims.</w:t>
                            </w:r>
                          </w:p>
                          <w:p w14:paraId="4BC3C09F" w14:textId="77777777" w:rsidR="0046658E" w:rsidRPr="00D04321" w:rsidRDefault="0046658E" w:rsidP="0046658E">
                            <w:pPr>
                              <w:rPr>
                                <w:sz w:val="22"/>
                                <w:szCs w:val="22"/>
                              </w:rPr>
                            </w:pPr>
                            <w:r w:rsidRPr="00D04321">
                              <w:rPr>
                                <w:sz w:val="22"/>
                                <w:szCs w:val="22"/>
                              </w:rPr>
                              <w:t>Missing persons investigations often require significant resources and are time-critical. In such cases, LFR offers an opportunity to make scarce identification chances count. Compared to public appeals—which involve circulating photographs widely and placing information outside police control—LFR can provide a less intrusive alternative while still supporting the Constabulary’s common law duty to protect life.</w:t>
                            </w:r>
                          </w:p>
                          <w:p w14:paraId="269810D6" w14:textId="2FC162AA" w:rsidR="00C12A24" w:rsidRPr="00D04321" w:rsidRDefault="0046658E" w:rsidP="0046658E">
                            <w:pPr>
                              <w:rPr>
                                <w:sz w:val="22"/>
                                <w:szCs w:val="22"/>
                              </w:rPr>
                            </w:pPr>
                            <w:r w:rsidRPr="00D04321">
                              <w:rPr>
                                <w:sz w:val="22"/>
                                <w:szCs w:val="22"/>
                              </w:rPr>
                              <w:t>It should be noted that data protection law does not prevent information sharing where necessary and proportionate for safeguarding purposes.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85447D" id="_x0000_s1030" type="#_x0000_t202" style="position:absolute;margin-left:0;margin-top:14.25pt;width:425.3pt;height:211.8pt;z-index:2516536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" fillcolor="white [3201]" strokeweight=".5pt">
                <v:textbox>
                  <w:txbxContent>
                    <w:p w14:paraId="79D3C1EE" w14:textId="56ECCF87" w:rsidR="0046658E" w:rsidRPr="00D04321" w:rsidRDefault="00D04321" w:rsidP="0046658E">
                      <w:pPr>
                        <w:rPr>
                          <w:sz w:val="22"/>
                          <w:szCs w:val="22"/>
                        </w:rPr>
                      </w:pPr>
                      <w:r w:rsidRPr="00D04321">
                        <w:rPr>
                          <w:b/>
                          <w:bCs/>
                          <w:sz w:val="22"/>
                          <w:szCs w:val="22"/>
                        </w:rPr>
                        <w:t xml:space="preserve">Child Sexual Abuse: </w:t>
                      </w:r>
                      <w:r w:rsidR="0046658E" w:rsidRPr="00D04321">
                        <w:rPr>
                          <w:sz w:val="22"/>
                          <w:szCs w:val="22"/>
                        </w:rPr>
                        <w:t>LFR can assist Hertfordshire Constabulary in tackling child sexual abuse by enabling the identification and location of vulnerable individuals who are missing and believed to be at risk. Deployment may occur based on intelligence or at large public events known to attract sexual predators, helping to prevent harm and safeguard potential victims.</w:t>
                      </w:r>
                    </w:p>
                    <w:p w14:paraId="4BC3C09F" w14:textId="77777777" w:rsidR="0046658E" w:rsidRPr="00D04321" w:rsidRDefault="0046658E" w:rsidP="0046658E">
                      <w:pPr>
                        <w:rPr>
                          <w:sz w:val="22"/>
                          <w:szCs w:val="22"/>
                        </w:rPr>
                      </w:pPr>
                      <w:r w:rsidRPr="00D04321">
                        <w:rPr>
                          <w:sz w:val="22"/>
                          <w:szCs w:val="22"/>
                        </w:rPr>
                        <w:t xml:space="preserve">Missing persons investigations often require significant resources and are </w:t>
                      </w:r>
                      <w:proofErr w:type="gramStart"/>
                      <w:r w:rsidRPr="00D04321">
                        <w:rPr>
                          <w:sz w:val="22"/>
                          <w:szCs w:val="22"/>
                        </w:rPr>
                        <w:t>time-critical</w:t>
                      </w:r>
                      <w:proofErr w:type="gramEnd"/>
                      <w:r w:rsidRPr="00D04321">
                        <w:rPr>
                          <w:sz w:val="22"/>
                          <w:szCs w:val="22"/>
                        </w:rPr>
                        <w:t>. In such cases, LFR offers an opportunity to make scarce identification chances count. Compared to public appeals—which involve circulating photographs widely and placing information outside police control—LFR can provide a less intrusive alternative while still supporting the Constabulary’s common law duty to protect life.</w:t>
                      </w:r>
                    </w:p>
                    <w:p w14:paraId="269810D6" w14:textId="2FC162AA" w:rsidR="00C12A24" w:rsidRPr="00D04321" w:rsidRDefault="0046658E" w:rsidP="0046658E">
                      <w:pPr>
                        <w:rPr>
                          <w:sz w:val="22"/>
                          <w:szCs w:val="22"/>
                        </w:rPr>
                      </w:pPr>
                      <w:r w:rsidRPr="00D04321">
                        <w:rPr>
                          <w:sz w:val="22"/>
                          <w:szCs w:val="22"/>
                        </w:rPr>
                        <w:t>It should be noted that data protection law does not prevent information sharing where necessary and proportionate for safeguarding purposes.</w:t>
                      </w:r>
                    </w:p>
                  </w:txbxContent>
                </v:textbox>
                <w10:wrap anchorx="margin"/>
              </v:shape>
            </w:pict>
          </mc:Fallback>
        </mc:AlternateContent>
      </w:r>
    </w:p>
    <w:p w14:paraId="32CE1212" w14:textId="526DE771" w:rsidR="00C12A24" w:rsidRDefault="00D04321" w:rsidP="00F06FA3">
      <w:pPr>
        <w:pStyle w:val="NoSpacing"/>
      </w:pPr>
      <w:r>
        <w:rPr>
          <w:noProof/>
        </w:rPr>
        <mc:AlternateContent>
          <mc:Choice Requires="wps">
            <w:drawing>
              <wp:anchor distT="0" distB="0" distL="114300" distR="114300" simplePos="0" relativeHeight="251654656" behindDoc="0" locked="0" layoutInCell="1" allowOverlap="1" wp14:anchorId="5D54C486" wp14:editId="56BF1F76">
                <wp:simplePos x="0" y="0"/>
                <wp:positionH relativeFrom="margin">
                  <wp:align>left</wp:align>
                </wp:positionH>
                <wp:positionV relativeFrom="paragraph">
                  <wp:posOffset>2841625</wp:posOffset>
                </wp:positionV>
                <wp:extent cx="5401310" cy="1669312"/>
                <wp:effectExtent l="0" t="0" r="27940" b="26670"/>
                <wp:wrapNone/>
                <wp:docPr id="1254690315" name="Text Box 1"/>
                <wp:cNvGraphicFramePr/>
                <a:graphic xmlns:a="http://schemas.openxmlformats.org/drawingml/2006/main">
                  <a:graphicData uri="http://schemas.microsoft.com/office/word/2010/wordprocessingShape">
                    <wps:wsp>
                      <wps:cNvSpPr txBox="1"/>
                      <wps:spPr>
                        <a:xfrm>
                          <a:off x="0" y="0"/>
                          <a:ext cx="5401310" cy="1669312"/>
                        </a:xfrm>
                        <a:prstGeom prst="rect">
                          <a:avLst/>
                        </a:prstGeom>
                        <a:solidFill>
                          <a:schemeClr val="lt1"/>
                        </a:solidFill>
                        <a:ln w="6350">
                          <a:solidFill>
                            <a:prstClr val="black"/>
                          </a:solidFill>
                        </a:ln>
                      </wps:spPr>
                      <wps:txbx>
                        <w:txbxContent>
                          <w:p w14:paraId="184ECDA9" w14:textId="1059F054" w:rsidR="00D04321" w:rsidRPr="00D04321" w:rsidRDefault="00D4679F" w:rsidP="00D4679F">
                            <w:pPr>
                              <w:rPr>
                                <w:sz w:val="22"/>
                                <w:szCs w:val="22"/>
                              </w:rPr>
                            </w:pPr>
                            <w:r>
                              <w:rPr>
                                <w:b/>
                                <w:bCs/>
                                <w:sz w:val="22"/>
                                <w:szCs w:val="22"/>
                              </w:rPr>
                              <w:t>Personal Property Theft</w:t>
                            </w:r>
                            <w:r w:rsidR="00D04321" w:rsidRPr="00D04321">
                              <w:rPr>
                                <w:b/>
                                <w:bCs/>
                                <w:sz w:val="22"/>
                                <w:szCs w:val="22"/>
                              </w:rPr>
                              <w:t xml:space="preserve">: </w:t>
                            </w:r>
                            <w:r w:rsidRPr="00D4679F">
                              <w:rPr>
                                <w:sz w:val="22"/>
                                <w:szCs w:val="22"/>
                              </w:rPr>
                              <w:t>LFR can assist Hertfordshire Constabulary in tackling criminals who target young and vulnerable individuals at music events. For example, LFR may be deployed at music venues to identify persons linked to large-scale personal property theft. Watchlists can be scoped to focus on travelling criminals who follow bands across Europe with the intent to commit theft. Using LFR in this way supports Hertfordshire Constabulary’s aim of preventing and detecting crime, protecting the public, and disrupting offenders by making it more difficult for them to access targeted locations.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54C486" id="_x0000_s1031" type="#_x0000_t202" style="position:absolute;margin-left:0;margin-top:223.75pt;width:425.3pt;height:131.45pt;z-index:2516546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" fillcolor="white [3201]" strokeweight=".5pt">
                <v:textbox>
                  <w:txbxContent>
                    <w:p w14:paraId="184ECDA9" w14:textId="1059F054" w:rsidR="00D04321" w:rsidRPr="00D04321" w:rsidRDefault="00D4679F" w:rsidP="00D4679F">
                      <w:pPr>
                        <w:rPr>
                          <w:sz w:val="22"/>
                          <w:szCs w:val="22"/>
                        </w:rPr>
                      </w:pPr>
                      <w:r>
                        <w:rPr>
                          <w:b/>
                          <w:bCs/>
                          <w:sz w:val="22"/>
                          <w:szCs w:val="22"/>
                        </w:rPr>
                        <w:t>Personal Property Theft</w:t>
                      </w:r>
                      <w:r w:rsidR="00D04321" w:rsidRPr="00D04321">
                        <w:rPr>
                          <w:b/>
                          <w:bCs/>
                          <w:sz w:val="22"/>
                          <w:szCs w:val="22"/>
                        </w:rPr>
                        <w:t xml:space="preserve">: </w:t>
                      </w:r>
                      <w:r w:rsidRPr="00D4679F">
                        <w:rPr>
                          <w:sz w:val="22"/>
                          <w:szCs w:val="22"/>
                        </w:rPr>
                        <w:t>LFR can assist Hertfordshire Constabulary in tackling criminals who target young and vulnerable individuals at music events. For example, LFR may be deployed at music venues to identify persons linked to large-scale personal property theft. Watchlists can be scoped to focus on travelling criminals who follow bands across Europe with the intent to commit theft. Using LFR in this way supports Hertfordshire Constabulary’s aim of preventing and detecting crime, protecting the public, and disrupting offenders by making it more difficult for them to access targeted locations.</w:t>
                      </w:r>
                    </w:p>
                  </w:txbxContent>
                </v:textbox>
                <w10:wrap anchorx="margin"/>
              </v:shape>
            </w:pict>
          </mc:Fallback>
        </mc:AlternateContent>
      </w:r>
    </w:p>
    <w:p w14:paraId="2D1F70FD" w14:textId="77777777" w:rsidR="00264B22" w:rsidRPr="00264B22" w:rsidRDefault="00264B22" w:rsidP="00264B22"/>
    <w:p w14:paraId="3644FCF2" w14:textId="77777777" w:rsidR="00264B22" w:rsidRPr="00264B22" w:rsidRDefault="00264B22" w:rsidP="00264B22"/>
    <w:p w14:paraId="50B98E7F" w14:textId="77777777" w:rsidR="00264B22" w:rsidRPr="00264B22" w:rsidRDefault="00264B22" w:rsidP="00264B22"/>
    <w:p w14:paraId="04686FD7" w14:textId="77777777" w:rsidR="00264B22" w:rsidRPr="00264B22" w:rsidRDefault="00264B22" w:rsidP="00264B22"/>
    <w:p w14:paraId="045A420C" w14:textId="77777777" w:rsidR="00264B22" w:rsidRPr="00264B22" w:rsidRDefault="00264B22" w:rsidP="00264B22"/>
    <w:p w14:paraId="648EF9A2" w14:textId="77777777" w:rsidR="00264B22" w:rsidRPr="00264B22" w:rsidRDefault="00264B22" w:rsidP="00264B22"/>
    <w:p w14:paraId="45E75D0A" w14:textId="77777777" w:rsidR="00264B22" w:rsidRPr="00264B22" w:rsidRDefault="00264B22" w:rsidP="00264B22"/>
    <w:p w14:paraId="24A01BDB" w14:textId="77777777" w:rsidR="00264B22" w:rsidRPr="00264B22" w:rsidRDefault="00264B22" w:rsidP="00264B22"/>
    <w:p w14:paraId="5B99F9A8" w14:textId="77777777" w:rsidR="00264B22" w:rsidRPr="00264B22" w:rsidRDefault="00264B22" w:rsidP="00264B22"/>
    <w:p w14:paraId="00CEFB52" w14:textId="77777777" w:rsidR="00264B22" w:rsidRPr="00264B22" w:rsidRDefault="00264B22" w:rsidP="00264B22"/>
    <w:p w14:paraId="5E770ACA" w14:textId="77777777" w:rsidR="00264B22" w:rsidRPr="00264B22" w:rsidRDefault="00264B22" w:rsidP="00264B22"/>
    <w:p w14:paraId="67A661A6" w14:textId="77777777" w:rsidR="00264B22" w:rsidRPr="00264B22" w:rsidRDefault="00264B22" w:rsidP="00264B22"/>
    <w:p w14:paraId="27E71503" w14:textId="77777777" w:rsidR="00264B22" w:rsidRPr="00264B22" w:rsidRDefault="00264B22" w:rsidP="00264B22"/>
    <w:p w14:paraId="7EDF3BED" w14:textId="77777777" w:rsidR="00264B22" w:rsidRPr="00264B22" w:rsidRDefault="00264B22" w:rsidP="00264B22"/>
    <w:p w14:paraId="0FF46887" w14:textId="77777777" w:rsidR="00264B22" w:rsidRDefault="00264B22" w:rsidP="00264B22">
      <w:r>
        <w:t>In a climate where police forces must operate efficiently, Hertfordshire Constabulary recognises that technology such as LFR can assist in quickly and cost-effectively locating individuals with outstanding warrants or those who have breached bail conditions. Bringing those unlawfully at large to justice is essential to protect the public.</w:t>
      </w:r>
    </w:p>
    <w:p w14:paraId="2160D47F" w14:textId="2E5AB47F" w:rsidR="00264B22" w:rsidRDefault="00264B22" w:rsidP="00264B22">
      <w:r>
        <w:t>The High Court in Bridges noted the “considerable additional benefit to the public interest” of including individuals wanted on warrant in an LFR deployment, even where there is no specific intelligence placing them in the deployment area.¹ The intrusion to those passing the system is no greater, while the potential to protect the public, the results achieved in deployments, and the arrests made justify the inclusion of such individuals as a necessary and proportionate measure to bring offenders to justice.</w:t>
      </w:r>
    </w:p>
    <w:p w14:paraId="1DF86C8D" w14:textId="77777777" w:rsidR="00A37938" w:rsidRDefault="00A37938" w:rsidP="00264B22"/>
    <w:p w14:paraId="015BE190" w14:textId="77777777" w:rsidR="00A37938" w:rsidRDefault="00A37938" w:rsidP="00264B22"/>
    <w:p w14:paraId="52EDC51B" w14:textId="77777777" w:rsidR="00A37938" w:rsidRDefault="00A37938" w:rsidP="00264B22"/>
    <w:p w14:paraId="16645917" w14:textId="38EA06B2" w:rsidR="00A37938" w:rsidRPr="00E33440" w:rsidRDefault="00E33440" w:rsidP="00E33440">
      <w:pPr>
        <w:pStyle w:val="ListParagraph"/>
        <w:numPr>
          <w:ilvl w:val="1"/>
          <w:numId w:val="1"/>
        </w:numPr>
      </w:pPr>
      <w:r>
        <w:rPr>
          <w:b/>
          <w:bCs/>
        </w:rPr>
        <w:lastRenderedPageBreak/>
        <w:t>Proportionality to the Legitimate Aim</w:t>
      </w:r>
    </w:p>
    <w:p w14:paraId="5F057DE5" w14:textId="77777777" w:rsidR="00570649" w:rsidRDefault="00570649" w:rsidP="00570649">
      <w:pPr>
        <w:pStyle w:val="ListParagraph"/>
      </w:pPr>
      <w:r>
        <w:t>The use of LFR must be proportionate to the legitimate aim being pursued. Deployment should never be arbitrary or excessive. As the Surveillance Camera Commissioner notes:</w:t>
      </w:r>
    </w:p>
    <w:p w14:paraId="70BBAC28" w14:textId="5B4BC684" w:rsidR="00570649" w:rsidRPr="00570649" w:rsidRDefault="00570649" w:rsidP="00570649">
      <w:pPr>
        <w:pStyle w:val="ListParagraph"/>
        <w:rPr>
          <w:i/>
          <w:iCs/>
        </w:rPr>
      </w:pPr>
      <w:r w:rsidRPr="00570649">
        <w:rPr>
          <w:i/>
          <w:iCs/>
        </w:rPr>
        <w:t>“Used appropriately, current and future technology can and will provide a proportionate and effective solution where surveillance is in pursuit of a legitimate aim and meets a pressing need.” ¹</w:t>
      </w:r>
    </w:p>
    <w:p w14:paraId="6AC85EEF" w14:textId="77777777" w:rsidR="00570649" w:rsidRDefault="00570649" w:rsidP="00570649">
      <w:pPr>
        <w:pStyle w:val="ListParagraph"/>
      </w:pPr>
      <w:r>
        <w:t>When authorising LFR, the following principles apply:</w:t>
      </w:r>
    </w:p>
    <w:p w14:paraId="37B54ACD" w14:textId="77777777" w:rsidR="00E37F1A" w:rsidRDefault="00E37F1A" w:rsidP="00570649">
      <w:pPr>
        <w:pStyle w:val="ListParagraph"/>
      </w:pPr>
    </w:p>
    <w:p w14:paraId="58D459B8" w14:textId="5B0D9BF5" w:rsidR="00E7022F" w:rsidRPr="00E7022F" w:rsidRDefault="00570649" w:rsidP="00E7022F">
      <w:pPr>
        <w:pStyle w:val="ListParagraph"/>
        <w:numPr>
          <w:ilvl w:val="0"/>
          <w:numId w:val="16"/>
        </w:numPr>
        <w:rPr>
          <w:i/>
          <w:iCs/>
        </w:rPr>
      </w:pPr>
      <w:r w:rsidRPr="00E7022F">
        <w:rPr>
          <w:i/>
          <w:iCs/>
        </w:rPr>
        <w:t>Reasonable Use of Powers</w:t>
      </w:r>
    </w:p>
    <w:p w14:paraId="1E124120" w14:textId="77777777" w:rsidR="00570649" w:rsidRDefault="00570649" w:rsidP="00570649">
      <w:pPr>
        <w:pStyle w:val="ListParagraph"/>
      </w:pPr>
      <w:r>
        <w:t>LFR must represent a reasonable use of Hertfordshire Constabulary’s powers. It will not be proportionate if its use is excessive in the context of the investigation, operation, or wider policing strategy. Authorising Officers should weigh the seriousness of the policing issue and the potential benefits of LFR against its impact on individuals on the Watchlist and the public.</w:t>
      </w:r>
    </w:p>
    <w:p w14:paraId="3D5925EB" w14:textId="77777777" w:rsidR="00570649" w:rsidRDefault="00570649" w:rsidP="00570649">
      <w:pPr>
        <w:pStyle w:val="ListParagraph"/>
      </w:pPr>
    </w:p>
    <w:p w14:paraId="2010722E" w14:textId="77777777" w:rsidR="00570649" w:rsidRDefault="00570649" w:rsidP="00570649">
      <w:pPr>
        <w:pStyle w:val="ListParagraph"/>
      </w:pPr>
      <w:r>
        <w:t>Watchlists must satisfy the necessity and proportionality test, be bespoke for each deployment, and based on current intelligence.</w:t>
      </w:r>
    </w:p>
    <w:p w14:paraId="31F8FEF7" w14:textId="00E5D817" w:rsidR="00570649" w:rsidRDefault="00570649" w:rsidP="00570649">
      <w:pPr>
        <w:pStyle w:val="ListParagraph"/>
      </w:pPr>
      <w:r>
        <w:t>Watchlists should only include individuals currently of interest to Hertfordshire Constabulary and/or UK law enforcement to avoid unnecessary matches. ²</w:t>
      </w:r>
    </w:p>
    <w:p w14:paraId="385A22AC" w14:textId="77777777" w:rsidR="00570649" w:rsidRDefault="00570649" w:rsidP="00570649">
      <w:pPr>
        <w:pStyle w:val="ListParagraph"/>
      </w:pPr>
    </w:p>
    <w:p w14:paraId="2B659D3F" w14:textId="68EA75E4" w:rsidR="00E7022F" w:rsidRPr="00E7022F" w:rsidRDefault="00570649" w:rsidP="00E7022F">
      <w:pPr>
        <w:pStyle w:val="ListParagraph"/>
        <w:numPr>
          <w:ilvl w:val="0"/>
          <w:numId w:val="16"/>
        </w:numPr>
        <w:rPr>
          <w:i/>
          <w:iCs/>
        </w:rPr>
      </w:pPr>
      <w:r w:rsidRPr="00E7022F">
        <w:rPr>
          <w:i/>
          <w:iCs/>
        </w:rPr>
        <w:t>Consideration of Privacy and Alternatives</w:t>
      </w:r>
    </w:p>
    <w:p w14:paraId="46DDBEDD" w14:textId="562172F5" w:rsidR="00E33440" w:rsidRDefault="00570649" w:rsidP="00570649">
      <w:pPr>
        <w:pStyle w:val="ListParagraph"/>
      </w:pPr>
      <w:r>
        <w:t>The level of interference with privacy must be balanced against the policing aim. Authorising Officers should consider whether other viable methods exist that could achieve the same result with less intrusion. The least intrusive, effective method should be adopted to progress an investigation or deployment. ³</w:t>
      </w:r>
    </w:p>
    <w:p w14:paraId="6BF565B7" w14:textId="77777777" w:rsidR="004B776C" w:rsidRDefault="004B776C" w:rsidP="00570649">
      <w:pPr>
        <w:pStyle w:val="ListParagraph"/>
      </w:pPr>
    </w:p>
    <w:p w14:paraId="77711881" w14:textId="3F700F13" w:rsidR="004B776C" w:rsidRPr="004B776C" w:rsidRDefault="004B776C" w:rsidP="004B776C">
      <w:pPr>
        <w:pStyle w:val="ListParagraph"/>
        <w:numPr>
          <w:ilvl w:val="0"/>
          <w:numId w:val="16"/>
        </w:numPr>
        <w:rPr>
          <w:i/>
          <w:iCs/>
        </w:rPr>
      </w:pPr>
      <w:r w:rsidRPr="004B776C">
        <w:rPr>
          <w:i/>
          <w:iCs/>
        </w:rPr>
        <w:t>Minimising Interference</w:t>
      </w:r>
    </w:p>
    <w:p w14:paraId="6623FDB0" w14:textId="3C444522" w:rsidR="00570649" w:rsidRDefault="004B776C" w:rsidP="00E33440">
      <w:pPr>
        <w:pStyle w:val="ListParagraph"/>
      </w:pPr>
      <w:r>
        <w:t>Authorising Officers must clearly address how and why the methods adopted will result in the least possible interference to the individual(s) being sought and to others. This includes demonstrating that the chosen approach is proportionate, targeted, and limited in scope, and that no less intrusive viable alternative exists to achieve the policing aim.</w:t>
      </w:r>
    </w:p>
    <w:p w14:paraId="4CA330E6" w14:textId="77777777" w:rsidR="004B776C" w:rsidRDefault="004B776C" w:rsidP="00E33440">
      <w:pPr>
        <w:pStyle w:val="ListParagraph"/>
      </w:pPr>
    </w:p>
    <w:p w14:paraId="6D0C19A6" w14:textId="4F569576" w:rsidR="00570649" w:rsidRDefault="00570649" w:rsidP="00570649">
      <w:r w:rsidRPr="00366213">
        <w:rPr>
          <w:rFonts w:ascii="Arial" w:hAnsi="Arial" w:cs="Arial"/>
          <w:noProof/>
          <w:sz w:val="20"/>
          <w:highlight w:val="yellow"/>
        </w:rPr>
        <mc:AlternateContent>
          <mc:Choice Requires="wps">
            <w:drawing>
              <wp:anchor distT="0" distB="0" distL="0" distR="0" simplePos="0" relativeHeight="251655680" behindDoc="1" locked="0" layoutInCell="1" allowOverlap="1" wp14:anchorId="1A0BAA65" wp14:editId="5E49037C">
                <wp:simplePos x="0" y="0"/>
                <wp:positionH relativeFrom="margin">
                  <wp:posOffset>425273</wp:posOffset>
                </wp:positionH>
                <wp:positionV relativeFrom="paragraph">
                  <wp:posOffset>319996</wp:posOffset>
                </wp:positionV>
                <wp:extent cx="1828800" cy="9525"/>
                <wp:effectExtent l="0" t="0" r="0" b="0"/>
                <wp:wrapTopAndBottom/>
                <wp:docPr id="109706954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3FC043" id="Graphic 6" o:spid="_x0000_s1026" style="position:absolute;margin-left:33.5pt;margin-top:25.2pt;width:2in;height:.75pt;z-index:-251660800;visibility:visible;mso-wrap-style:square;mso-wrap-distance-left:0;mso-wrap-distance-top:0;mso-wrap-distance-right:0;mso-wrap-distance-bottom:0;mso-position-horizontal:absolute;mso-position-horizontal-relative:margin;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" path="m1828800,l,,,9144r1828800,l1828800,xe" fillcolor="black" stroked="f">
                <v:path arrowok="t"/>
                <w10:wrap type="topAndBottom" anchorx="margin"/>
              </v:shape>
            </w:pict>
          </mc:Fallback>
        </mc:AlternateContent>
      </w:r>
    </w:p>
    <w:p w14:paraId="699BA7D9" w14:textId="2E2E265A" w:rsidR="00570649" w:rsidRDefault="00570649" w:rsidP="00E33440">
      <w:pPr>
        <w:pStyle w:val="ListParagraph"/>
        <w:rPr>
          <w:sz w:val="20"/>
          <w:szCs w:val="20"/>
        </w:rPr>
      </w:pPr>
      <w:r w:rsidRPr="00570649">
        <w:rPr>
          <w:sz w:val="20"/>
          <w:szCs w:val="20"/>
        </w:rPr>
        <w:t xml:space="preserve">¹ Surveillance Camera Commissioner, </w:t>
      </w:r>
      <w:r w:rsidRPr="00570649">
        <w:rPr>
          <w:i/>
          <w:iCs/>
          <w:sz w:val="20"/>
          <w:szCs w:val="20"/>
        </w:rPr>
        <w:t>Facing the Camera: Guidance on Surveillance Camera Use</w:t>
      </w:r>
      <w:r w:rsidRPr="00570649">
        <w:rPr>
          <w:sz w:val="20"/>
          <w:szCs w:val="20"/>
        </w:rPr>
        <w:t>.</w:t>
      </w:r>
      <w:r w:rsidRPr="00570649">
        <w:rPr>
          <w:sz w:val="20"/>
          <w:szCs w:val="20"/>
        </w:rPr>
        <w:br/>
        <w:t xml:space="preserve">² </w:t>
      </w:r>
      <w:r w:rsidRPr="00570649">
        <w:rPr>
          <w:i/>
          <w:iCs/>
          <w:sz w:val="20"/>
          <w:szCs w:val="20"/>
        </w:rPr>
        <w:t>R (Bridges) v Chief Constable of South Wales Police</w:t>
      </w:r>
      <w:r w:rsidRPr="00570649">
        <w:rPr>
          <w:sz w:val="20"/>
          <w:szCs w:val="20"/>
        </w:rPr>
        <w:t xml:space="preserve"> [2020] EWCA Civ 1058 (proportionality and necessity under Article 8).</w:t>
      </w:r>
      <w:r w:rsidRPr="00570649">
        <w:rPr>
          <w:sz w:val="20"/>
          <w:szCs w:val="20"/>
        </w:rPr>
        <w:br/>
        <w:t xml:space="preserve">³ </w:t>
      </w:r>
      <w:r w:rsidRPr="00570649">
        <w:rPr>
          <w:i/>
          <w:iCs/>
          <w:sz w:val="20"/>
          <w:szCs w:val="20"/>
        </w:rPr>
        <w:t>R (Catt) v Association of Chief Police Officers</w:t>
      </w:r>
      <w:r w:rsidRPr="00570649">
        <w:rPr>
          <w:sz w:val="20"/>
          <w:szCs w:val="20"/>
        </w:rPr>
        <w:t xml:space="preserve"> [2015] AC 1065 at [11] (balancing privacy rights and policing needs).</w:t>
      </w:r>
    </w:p>
    <w:p w14:paraId="75FF9255" w14:textId="3B821D1E" w:rsidR="0026444B" w:rsidRDefault="00E37F1A" w:rsidP="00E33440">
      <w:pPr>
        <w:pStyle w:val="ListParagraph"/>
      </w:pPr>
      <w:r>
        <w:rPr>
          <w:noProof/>
        </w:rPr>
        <w:lastRenderedPageBreak/>
        <mc:AlternateContent>
          <mc:Choice Requires="wps">
            <w:drawing>
              <wp:anchor distT="0" distB="0" distL="114300" distR="114300" simplePos="0" relativeHeight="251656704" behindDoc="0" locked="0" layoutInCell="1" allowOverlap="1" wp14:anchorId="56BABD1B" wp14:editId="09A3DA40">
                <wp:simplePos x="0" y="0"/>
                <wp:positionH relativeFrom="margin">
                  <wp:align>right</wp:align>
                </wp:positionH>
                <wp:positionV relativeFrom="paragraph">
                  <wp:posOffset>248979</wp:posOffset>
                </wp:positionV>
                <wp:extent cx="5401310" cy="2083981"/>
                <wp:effectExtent l="0" t="0" r="27940" b="12065"/>
                <wp:wrapNone/>
                <wp:docPr id="1226039820" name="Text Box 1"/>
                <wp:cNvGraphicFramePr/>
                <a:graphic xmlns:a="http://schemas.openxmlformats.org/drawingml/2006/main">
                  <a:graphicData uri="http://schemas.microsoft.com/office/word/2010/wordprocessingShape">
                    <wps:wsp>
                      <wps:cNvSpPr txBox="1"/>
                      <wps:spPr>
                        <a:xfrm>
                          <a:off x="0" y="0"/>
                          <a:ext cx="5401310" cy="2083981"/>
                        </a:xfrm>
                        <a:prstGeom prst="rect">
                          <a:avLst/>
                        </a:prstGeom>
                        <a:solidFill>
                          <a:schemeClr val="lt1"/>
                        </a:solidFill>
                        <a:ln w="6350">
                          <a:solidFill>
                            <a:prstClr val="black"/>
                          </a:solidFill>
                        </a:ln>
                      </wps:spPr>
                      <wps:txbx>
                        <w:txbxContent>
                          <w:p w14:paraId="47231876" w14:textId="35037967" w:rsidR="00CD097E" w:rsidRPr="00CD097E" w:rsidRDefault="00CD097E" w:rsidP="00CD097E">
                            <w:pPr>
                              <w:rPr>
                                <w:sz w:val="22"/>
                                <w:szCs w:val="22"/>
                              </w:rPr>
                            </w:pPr>
                            <w:r>
                              <w:rPr>
                                <w:b/>
                                <w:bCs/>
                                <w:sz w:val="22"/>
                                <w:szCs w:val="22"/>
                              </w:rPr>
                              <w:t xml:space="preserve">Example: </w:t>
                            </w:r>
                            <w:r w:rsidRPr="00CD097E">
                              <w:rPr>
                                <w:sz w:val="22"/>
                                <w:szCs w:val="22"/>
                              </w:rPr>
                              <w:t>Circulating a wanted image on social media may be considered as an alternative to using LFR. However, LFR offers a more targeted and controlled approach. It can be deployed in a specific area for a limited period, based on intelligence, and at times and locations where locating the individual is most likely. This avoids public disclosure of the person’s identity.</w:t>
                            </w:r>
                          </w:p>
                          <w:p w14:paraId="286E4CB2" w14:textId="77777777" w:rsidR="00CD097E" w:rsidRPr="00CD097E" w:rsidRDefault="00CD097E" w:rsidP="00CD097E">
                            <w:pPr>
                              <w:rPr>
                                <w:sz w:val="22"/>
                                <w:szCs w:val="22"/>
                              </w:rPr>
                            </w:pPr>
                            <w:r w:rsidRPr="00CD097E">
                              <w:rPr>
                                <w:sz w:val="22"/>
                                <w:szCs w:val="22"/>
                              </w:rPr>
                              <w:t>By contrast, publishing an image on social media places it in the public domain in a less targeted way. Once online, the image is outside Hertfordshire Constabulary’s control and may remain accessible even after the individual has been traced, creating a greater and ongoing intrusion into privacy.</w:t>
                            </w:r>
                          </w:p>
                          <w:p w14:paraId="612F4F14" w14:textId="2A811CBC" w:rsidR="00450FC2" w:rsidRPr="00D04321" w:rsidRDefault="00CD097E" w:rsidP="00CD097E">
                            <w:pPr>
                              <w:rPr>
                                <w:sz w:val="22"/>
                                <w:szCs w:val="22"/>
                              </w:rPr>
                            </w:pPr>
                            <w:r w:rsidRPr="00CD097E">
                              <w:rPr>
                                <w:b/>
                                <w:bCs/>
                                <w:sz w:val="22"/>
                                <w:szCs w:val="22"/>
                              </w:rPr>
                              <w:t>Authorising Officers should balance any intrusion into privacy against the investigative need. Where LFR is deployed in a way that minimises impact on privacy, it may represent a more proportionate and less intrusive alternative to social media publication.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BABD1B" id="_x0000_s1032" type="#_x0000_t202" style="position:absolute;left:0;text-align:left;margin-left:374.1pt;margin-top:19.6pt;width:425.3pt;height:164.1pt;z-index:2516567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" fillcolor="white [3201]" strokeweight=".5pt">
                <v:textbox>
                  <w:txbxContent>
                    <w:p w14:paraId="47231876" w14:textId="35037967" w:rsidR="00CD097E" w:rsidRPr="00CD097E" w:rsidRDefault="00CD097E" w:rsidP="00CD097E">
                      <w:pPr>
                        <w:rPr>
                          <w:sz w:val="22"/>
                          <w:szCs w:val="22"/>
                        </w:rPr>
                      </w:pPr>
                      <w:r>
                        <w:rPr>
                          <w:b/>
                          <w:bCs/>
                          <w:sz w:val="22"/>
                          <w:szCs w:val="22"/>
                        </w:rPr>
                        <w:t xml:space="preserve">Example: </w:t>
                      </w:r>
                      <w:r w:rsidRPr="00CD097E">
                        <w:rPr>
                          <w:sz w:val="22"/>
                          <w:szCs w:val="22"/>
                        </w:rPr>
                        <w:t>Circulating a wanted image on social media may be considered as an alternative to using LFR. However, LFR offers a more targeted and controlled approach. It can be deployed in a specific area for a limited period, based on intelligence, and at times and locations where locating the individual is most likely. This avoids public disclosure of the person’s identity.</w:t>
                      </w:r>
                    </w:p>
                    <w:p w14:paraId="286E4CB2" w14:textId="77777777" w:rsidR="00CD097E" w:rsidRPr="00CD097E" w:rsidRDefault="00CD097E" w:rsidP="00CD097E">
                      <w:pPr>
                        <w:rPr>
                          <w:sz w:val="22"/>
                          <w:szCs w:val="22"/>
                        </w:rPr>
                      </w:pPr>
                      <w:r w:rsidRPr="00CD097E">
                        <w:rPr>
                          <w:sz w:val="22"/>
                          <w:szCs w:val="22"/>
                        </w:rPr>
                        <w:t>By contrast, publishing an image on social media places it in the public domain in a less targeted way. Once online, the image is outside Hertfordshire Constabulary’s control and may remain accessible even after the individual has been traced, creating a greater and ongoing intrusion into privacy.</w:t>
                      </w:r>
                    </w:p>
                    <w:p w14:paraId="612F4F14" w14:textId="2A811CBC" w:rsidR="00450FC2" w:rsidRPr="00D04321" w:rsidRDefault="00CD097E" w:rsidP="00CD097E">
                      <w:pPr>
                        <w:rPr>
                          <w:sz w:val="22"/>
                          <w:szCs w:val="22"/>
                        </w:rPr>
                      </w:pPr>
                      <w:r w:rsidRPr="00CD097E">
                        <w:rPr>
                          <w:b/>
                          <w:bCs/>
                          <w:sz w:val="22"/>
                          <w:szCs w:val="22"/>
                        </w:rPr>
                        <w:t>Authorising Officers should balance any intrusion into privacy against the investigative need. Where LFR is deployed in a way that minimises impact on privacy, it may represent a more proportionate and less intrusive alternative to social media publication.</w:t>
                      </w:r>
                    </w:p>
                  </w:txbxContent>
                </v:textbox>
                <w10:wrap anchorx="margin"/>
              </v:shape>
            </w:pict>
          </mc:Fallback>
        </mc:AlternateContent>
      </w:r>
    </w:p>
    <w:p w14:paraId="22D8190E" w14:textId="77777777" w:rsidR="008512AB" w:rsidRPr="008512AB" w:rsidRDefault="008512AB" w:rsidP="008512AB"/>
    <w:p w14:paraId="2FD118A4" w14:textId="77777777" w:rsidR="008512AB" w:rsidRPr="008512AB" w:rsidRDefault="008512AB" w:rsidP="008512AB"/>
    <w:p w14:paraId="544C33A2" w14:textId="77777777" w:rsidR="008512AB" w:rsidRPr="008512AB" w:rsidRDefault="008512AB" w:rsidP="008512AB"/>
    <w:p w14:paraId="7A886FD4" w14:textId="77777777" w:rsidR="008512AB" w:rsidRPr="008512AB" w:rsidRDefault="008512AB" w:rsidP="008512AB"/>
    <w:p w14:paraId="602D2824" w14:textId="77777777" w:rsidR="008512AB" w:rsidRPr="008512AB" w:rsidRDefault="008512AB" w:rsidP="008512AB"/>
    <w:p w14:paraId="595147E9" w14:textId="77777777" w:rsidR="008512AB" w:rsidRPr="008512AB" w:rsidRDefault="008512AB" w:rsidP="008512AB"/>
    <w:p w14:paraId="30375DEA" w14:textId="77777777" w:rsidR="008512AB" w:rsidRDefault="008512AB" w:rsidP="008512AB"/>
    <w:p w14:paraId="46AA1834" w14:textId="77777777" w:rsidR="00576804" w:rsidRDefault="007C5E97" w:rsidP="00576804">
      <w:pPr>
        <w:pStyle w:val="ListParagraph"/>
      </w:pPr>
      <w:r>
        <w:t>All uses of LFR under this Legal Mandate will be overt. LFR will be deployed for a limited time, with a defined footprint and purpose, as controlled by Hertfordshire Constabulary LFR Documents. The system will be visibly deployed in an open and transparent manner. Consistent with public engagement principles, Hertfordshire Constabulary LFR Documents provide a framework for awareness measures tailored to the nature and objectives of each deploymen</w:t>
      </w:r>
      <w:r w:rsidR="00576804">
        <w:t>t.</w:t>
      </w:r>
    </w:p>
    <w:p w14:paraId="350D2D10" w14:textId="77777777" w:rsidR="00351EEC" w:rsidRDefault="00351EEC" w:rsidP="00576804">
      <w:pPr>
        <w:pStyle w:val="ListParagraph"/>
      </w:pPr>
    </w:p>
    <w:p w14:paraId="43559F7D" w14:textId="474F422A" w:rsidR="007C5E97" w:rsidRDefault="007C5E97" w:rsidP="00576804">
      <w:pPr>
        <w:pStyle w:val="ListParagraph"/>
      </w:pPr>
      <w:r w:rsidRPr="00576804">
        <w:rPr>
          <w:b/>
          <w:bCs/>
        </w:rPr>
        <w:t>Proportionality Controls</w:t>
      </w:r>
      <w:r w:rsidR="00576804">
        <w:rPr>
          <w:b/>
          <w:bCs/>
        </w:rPr>
        <w:t xml:space="preserve">. </w:t>
      </w:r>
      <w:r>
        <w:t>Controls are built into the LFR system and its operation to minimise impact on the public and individuals on a Watchlist:</w:t>
      </w:r>
    </w:p>
    <w:p w14:paraId="0B836679" w14:textId="77777777" w:rsidR="00576804" w:rsidRDefault="007C5E97" w:rsidP="00576804">
      <w:pPr>
        <w:pStyle w:val="NoSpacing"/>
        <w:numPr>
          <w:ilvl w:val="0"/>
          <w:numId w:val="17"/>
        </w:numPr>
      </w:pPr>
      <w:r>
        <w:t>Watchlist Limitation – LFR cannot be used to locate persons unless they are included on a Watchlist.</w:t>
      </w:r>
    </w:p>
    <w:p w14:paraId="5C387DE8" w14:textId="77777777" w:rsidR="00576804" w:rsidRDefault="007C5E97" w:rsidP="00576804">
      <w:pPr>
        <w:pStyle w:val="NoSpacing"/>
        <w:numPr>
          <w:ilvl w:val="0"/>
          <w:numId w:val="17"/>
        </w:numPr>
      </w:pPr>
      <w:r>
        <w:t>Deployment-Specific Watchlists – Each Watchlist is bespoke to the deployment and informed by the intelligence case, ensuring currency, relevance, necessity, and proportionality.</w:t>
      </w:r>
    </w:p>
    <w:p w14:paraId="58E75997" w14:textId="77777777" w:rsidR="00576804" w:rsidRDefault="007C5E97" w:rsidP="00576804">
      <w:pPr>
        <w:pStyle w:val="NoSpacing"/>
        <w:numPr>
          <w:ilvl w:val="0"/>
          <w:numId w:val="17"/>
        </w:numPr>
      </w:pPr>
      <w:r>
        <w:t>Lawful Image Holding – Images on a Watchlist will be lawfully held, with steps taken to confirm the identity of individuals intended for inclusion.</w:t>
      </w:r>
    </w:p>
    <w:p w14:paraId="10F2EB27" w14:textId="77777777" w:rsidR="00576804" w:rsidRDefault="007C5E97" w:rsidP="00576804">
      <w:pPr>
        <w:pStyle w:val="NoSpacing"/>
        <w:numPr>
          <w:ilvl w:val="0"/>
          <w:numId w:val="17"/>
        </w:numPr>
      </w:pPr>
      <w:r>
        <w:t>Non-Police Images – Authorising Officers must expressly approve the use of non-police-originated images due to heightened privacy considerations (e.g., images taken in private settings or for non-policing purposes). The LFR SOP (Section 6) outlines these considerations.</w:t>
      </w:r>
    </w:p>
    <w:p w14:paraId="3236BC1D" w14:textId="77777777" w:rsidR="00576804" w:rsidRDefault="007C5E97" w:rsidP="00576804">
      <w:pPr>
        <w:pStyle w:val="NoSpacing"/>
        <w:numPr>
          <w:ilvl w:val="0"/>
          <w:numId w:val="17"/>
        </w:numPr>
      </w:pPr>
      <w:r>
        <w:t>Image Quality Assessment – The system assesses image quality and suitability to mitigate risks of inaccurate alerts.</w:t>
      </w:r>
    </w:p>
    <w:p w14:paraId="18800946" w14:textId="77777777" w:rsidR="00576804" w:rsidRDefault="007C5E97" w:rsidP="00576804">
      <w:pPr>
        <w:pStyle w:val="NoSpacing"/>
        <w:numPr>
          <w:ilvl w:val="0"/>
          <w:numId w:val="17"/>
        </w:numPr>
      </w:pPr>
      <w:r>
        <w:t>Watchlist Deletion – All Watchlists are deleted as soon as practicable and, in any case, within 24 hours following the conclusion of the deployment.</w:t>
      </w:r>
    </w:p>
    <w:p w14:paraId="17CB124D" w14:textId="77777777" w:rsidR="00576804" w:rsidRDefault="007C5E97" w:rsidP="00576804">
      <w:pPr>
        <w:pStyle w:val="NoSpacing"/>
        <w:numPr>
          <w:ilvl w:val="0"/>
          <w:numId w:val="17"/>
        </w:numPr>
      </w:pPr>
      <w:r>
        <w:t>System Integrity – Cameras meet quality standards; the LFR system is closed and not connected to other Constabulary systems or the internet.</w:t>
      </w:r>
    </w:p>
    <w:p w14:paraId="2CA2B270" w14:textId="77777777" w:rsidR="00576804" w:rsidRDefault="007C5E97" w:rsidP="00576804">
      <w:pPr>
        <w:pStyle w:val="NoSpacing"/>
        <w:numPr>
          <w:ilvl w:val="0"/>
          <w:numId w:val="17"/>
        </w:numPr>
      </w:pPr>
      <w:r>
        <w:t>Human Oversight – The system flags potential matches for officer review; no autonomous decisions are made.</w:t>
      </w:r>
    </w:p>
    <w:p w14:paraId="37AAAE1F" w14:textId="5AEFA981" w:rsidR="00576804" w:rsidRDefault="007C5E97" w:rsidP="00EB00D5">
      <w:pPr>
        <w:pStyle w:val="NoSpacing"/>
        <w:numPr>
          <w:ilvl w:val="0"/>
          <w:numId w:val="17"/>
        </w:numPr>
      </w:pPr>
      <w:r>
        <w:t>Periodic Review – Deployments and supporting materials are periodically reviewed to ensure necessity, proportionality, and effectiveness.</w:t>
      </w:r>
    </w:p>
    <w:p w14:paraId="2D3DA84B" w14:textId="77777777" w:rsidR="00351EEC" w:rsidRDefault="00351EEC" w:rsidP="00351EEC">
      <w:pPr>
        <w:pStyle w:val="NoSpacing"/>
        <w:ind w:left="1080"/>
      </w:pPr>
    </w:p>
    <w:p w14:paraId="11DE4235" w14:textId="77777777" w:rsidR="00576804" w:rsidRDefault="00576804" w:rsidP="00576804">
      <w:pPr>
        <w:pStyle w:val="NoSpacing"/>
      </w:pPr>
    </w:p>
    <w:p w14:paraId="6D96CD72" w14:textId="77777777" w:rsidR="00617D32" w:rsidRDefault="007C5E97" w:rsidP="00617D32">
      <w:pPr>
        <w:pStyle w:val="NoSpacing"/>
        <w:ind w:left="720"/>
      </w:pPr>
      <w:r w:rsidRPr="00576804">
        <w:rPr>
          <w:b/>
          <w:bCs/>
        </w:rPr>
        <w:lastRenderedPageBreak/>
        <w:t>Data Retention Controls</w:t>
      </w:r>
      <w:r w:rsidR="00617D32">
        <w:rPr>
          <w:b/>
          <w:bCs/>
        </w:rPr>
        <w:t xml:space="preserve">. </w:t>
      </w:r>
      <w:r>
        <w:t>To minimise impact on privacy:</w:t>
      </w:r>
    </w:p>
    <w:p w14:paraId="2062CE10" w14:textId="77777777" w:rsidR="00617D32" w:rsidRDefault="007C5E97" w:rsidP="00617D32">
      <w:pPr>
        <w:pStyle w:val="NoSpacing"/>
        <w:numPr>
          <w:ilvl w:val="0"/>
          <w:numId w:val="18"/>
        </w:numPr>
      </w:pPr>
      <w:r>
        <w:t>No Alert – Biometric data is immediately deleted.</w:t>
      </w:r>
    </w:p>
    <w:p w14:paraId="3D19E772" w14:textId="77777777" w:rsidR="00617D32" w:rsidRDefault="007C5E97" w:rsidP="00617D32">
      <w:pPr>
        <w:pStyle w:val="NoSpacing"/>
        <w:numPr>
          <w:ilvl w:val="0"/>
          <w:numId w:val="18"/>
        </w:numPr>
      </w:pPr>
      <w:r>
        <w:t>Watchlist Import Media – Data on encrypted USB devices is deleted within 24 hours post-deployment.</w:t>
      </w:r>
    </w:p>
    <w:p w14:paraId="77042C78" w14:textId="77777777" w:rsidR="00617D32" w:rsidRDefault="007C5E97" w:rsidP="00617D32">
      <w:pPr>
        <w:pStyle w:val="NoSpacing"/>
        <w:numPr>
          <w:ilvl w:val="0"/>
          <w:numId w:val="18"/>
        </w:numPr>
      </w:pPr>
      <w:r>
        <w:t>Watchlists – Deleted within 24 hours post-deployment.</w:t>
      </w:r>
    </w:p>
    <w:p w14:paraId="542D38CD" w14:textId="77777777" w:rsidR="00617D32" w:rsidRDefault="007C5E97" w:rsidP="00617D32">
      <w:pPr>
        <w:pStyle w:val="NoSpacing"/>
        <w:numPr>
          <w:ilvl w:val="0"/>
          <w:numId w:val="18"/>
        </w:numPr>
      </w:pPr>
      <w:r>
        <w:t>Alerts – All personal data deleted within 24 hours post-deployment.</w:t>
      </w:r>
    </w:p>
    <w:p w14:paraId="00B51998" w14:textId="77777777" w:rsidR="00C87C7F" w:rsidRDefault="007C5E97" w:rsidP="00C87C7F">
      <w:pPr>
        <w:pStyle w:val="NoSpacing"/>
        <w:numPr>
          <w:ilvl w:val="0"/>
          <w:numId w:val="18"/>
        </w:numPr>
      </w:pPr>
      <w:r>
        <w:t>CCTV Footage – Deleted within 31 days, except where retained:</w:t>
      </w:r>
    </w:p>
    <w:p w14:paraId="6552230C" w14:textId="755018DD" w:rsidR="00C87C7F" w:rsidRPr="00C87C7F" w:rsidRDefault="007C5E97" w:rsidP="00C87C7F">
      <w:pPr>
        <w:pStyle w:val="NoSpacing"/>
        <w:numPr>
          <w:ilvl w:val="0"/>
          <w:numId w:val="19"/>
        </w:numPr>
        <w:rPr>
          <w:i/>
          <w:iCs/>
        </w:rPr>
      </w:pPr>
      <w:r w:rsidRPr="00C87C7F">
        <w:rPr>
          <w:i/>
          <w:iCs/>
        </w:rPr>
        <w:t>Under the Data Protection Act 2018, MOPI, or Criminal Procedure and Investigations Act 1996; and/or</w:t>
      </w:r>
    </w:p>
    <w:p w14:paraId="68F037D1" w14:textId="77777777" w:rsidR="00E2784C" w:rsidRDefault="00C87C7F" w:rsidP="0092628A">
      <w:pPr>
        <w:pStyle w:val="NoSpacing"/>
        <w:numPr>
          <w:ilvl w:val="0"/>
          <w:numId w:val="19"/>
        </w:numPr>
        <w:rPr>
          <w:i/>
          <w:iCs/>
        </w:rPr>
      </w:pPr>
      <w:r w:rsidRPr="00E2784C">
        <w:rPr>
          <w:i/>
          <w:iCs/>
        </w:rPr>
        <w:t>I</w:t>
      </w:r>
      <w:r w:rsidR="007C5E97" w:rsidRPr="00E2784C">
        <w:rPr>
          <w:i/>
          <w:iCs/>
        </w:rPr>
        <w:t>n line with Hertfordshire Constabulary complaints/conduct investigation policies.</w:t>
      </w:r>
    </w:p>
    <w:p w14:paraId="42881136" w14:textId="77777777" w:rsidR="00E2784C" w:rsidRDefault="00E2784C" w:rsidP="00E2784C">
      <w:pPr>
        <w:pStyle w:val="NoSpacing"/>
        <w:rPr>
          <w:i/>
          <w:iCs/>
        </w:rPr>
      </w:pPr>
    </w:p>
    <w:p w14:paraId="2E14B8D7" w14:textId="77777777" w:rsidR="00E2784C" w:rsidRDefault="007C5E97" w:rsidP="00E2784C">
      <w:pPr>
        <w:pStyle w:val="NoSpacing"/>
        <w:ind w:left="720"/>
        <w:rPr>
          <w:b/>
          <w:bCs/>
        </w:rPr>
      </w:pPr>
      <w:r w:rsidRPr="00E2784C">
        <w:rPr>
          <w:b/>
          <w:bCs/>
        </w:rPr>
        <w:t>Deployment Location Privacy Considerations</w:t>
      </w:r>
    </w:p>
    <w:p w14:paraId="436E4CCD" w14:textId="77777777" w:rsidR="00E2784C" w:rsidRDefault="007C5E97" w:rsidP="00E2784C">
      <w:pPr>
        <w:pStyle w:val="NoSpacing"/>
        <w:ind w:left="720"/>
      </w:pPr>
      <w:r>
        <w:t>Deployment locations are primarily identified through intelligence supporting the likelihood of locating persons and/or the role of LFR within wider policing tactics. Authorising Officers must also consider:</w:t>
      </w:r>
    </w:p>
    <w:p w14:paraId="078D6ADF" w14:textId="77777777" w:rsidR="00E2784C" w:rsidRDefault="00E2784C" w:rsidP="00E2784C">
      <w:pPr>
        <w:pStyle w:val="NoSpacing"/>
        <w:ind w:left="720"/>
      </w:pPr>
    </w:p>
    <w:p w14:paraId="3FAF3444" w14:textId="77777777" w:rsidR="00E2784C" w:rsidRPr="00E2784C" w:rsidRDefault="007C5E97" w:rsidP="007C5E97">
      <w:pPr>
        <w:pStyle w:val="NoSpacing"/>
        <w:numPr>
          <w:ilvl w:val="0"/>
          <w:numId w:val="21"/>
        </w:numPr>
        <w:rPr>
          <w:b/>
          <w:bCs/>
        </w:rPr>
      </w:pPr>
      <w:r>
        <w:t>Public Privacy Expectations – Some locations attract higher privacy expectations than others.</w:t>
      </w:r>
    </w:p>
    <w:p w14:paraId="280604E2" w14:textId="77777777" w:rsidR="00E2784C" w:rsidRPr="00E2784C" w:rsidRDefault="007C5E97" w:rsidP="00E2784C">
      <w:pPr>
        <w:pStyle w:val="NoSpacing"/>
        <w:numPr>
          <w:ilvl w:val="0"/>
          <w:numId w:val="21"/>
        </w:numPr>
        <w:rPr>
          <w:b/>
          <w:bCs/>
        </w:rPr>
      </w:pPr>
      <w:r>
        <w:t>Visibility and Awareness Measures – Appropriate steps to identify LFR use, particularly where privacy expectations are greater.</w:t>
      </w:r>
    </w:p>
    <w:p w14:paraId="50629068" w14:textId="77777777" w:rsidR="00794B71" w:rsidRPr="00794B71" w:rsidRDefault="007C5E97" w:rsidP="00E2784C">
      <w:pPr>
        <w:pStyle w:val="NoSpacing"/>
        <w:numPr>
          <w:ilvl w:val="0"/>
          <w:numId w:val="21"/>
        </w:numPr>
        <w:rPr>
          <w:b/>
          <w:bCs/>
        </w:rPr>
      </w:pPr>
      <w:r>
        <w:t>Specific Privacy Concerns – Locations where individuals present may have heightened privacy considerations.</w:t>
      </w:r>
    </w:p>
    <w:p w14:paraId="35D4449E" w14:textId="4AD7B5B4" w:rsidR="008512AB" w:rsidRDefault="008512AB" w:rsidP="00794B71">
      <w:pPr>
        <w:pStyle w:val="NoSpacing"/>
        <w:ind w:left="1440"/>
      </w:pPr>
      <w:r w:rsidRPr="00366213">
        <w:rPr>
          <w:rFonts w:ascii="Arial" w:hAnsi="Arial" w:cs="Arial"/>
          <w:noProof/>
          <w:sz w:val="20"/>
        </w:rPr>
        <mc:AlternateContent>
          <mc:Choice Requires="wps">
            <w:drawing>
              <wp:anchor distT="0" distB="0" distL="0" distR="0" simplePos="0" relativeHeight="251657728" behindDoc="1" locked="0" layoutInCell="1" allowOverlap="1" wp14:anchorId="65AD710B" wp14:editId="49D69FF1">
                <wp:simplePos x="0" y="0"/>
                <wp:positionH relativeFrom="page">
                  <wp:posOffset>1282700</wp:posOffset>
                </wp:positionH>
                <wp:positionV relativeFrom="paragraph">
                  <wp:posOffset>5609590</wp:posOffset>
                </wp:positionV>
                <wp:extent cx="5360035" cy="55372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553720"/>
                        </a:xfrm>
                        <a:prstGeom prst="rect">
                          <a:avLst/>
                        </a:prstGeom>
                        <a:ln w="6108">
                          <a:solidFill>
                            <a:srgbClr val="000000"/>
                          </a:solidFill>
                          <a:prstDash val="solid"/>
                        </a:ln>
                      </wps:spPr>
                      <wps:txbx>
                        <w:txbxContent>
                          <w:p w14:paraId="2B593745" w14:textId="77777777" w:rsidR="008512AB" w:rsidRPr="00366213" w:rsidRDefault="008512AB" w:rsidP="008512AB">
                            <w:pPr>
                              <w:pStyle w:val="BodyText"/>
                              <w:spacing w:line="256" w:lineRule="auto"/>
                              <w:ind w:left="103" w:right="98"/>
                              <w:jc w:val="both"/>
                            </w:pPr>
                            <w:r w:rsidRPr="00366213">
                              <w:rPr>
                                <w:b/>
                              </w:rPr>
                              <w:t>Authorising Officers</w:t>
                            </w:r>
                            <w:r w:rsidRPr="00366213">
                              <w:t>: When taking a decision to deploy LFR, Authorising Officers should record what other methods, as appropriate, were either not implemented or have been employed but which were assessed to be insufficient or inappropriate to fulfil HERTFORDSHIRE CONSTABULARY’s aim.</w:t>
                            </w:r>
                          </w:p>
                        </w:txbxContent>
                      </wps:txbx>
                      <wps:bodyPr wrap="square" lIns="0" tIns="0" rIns="0" bIns="0" rtlCol="0">
                        <a:noAutofit/>
                      </wps:bodyPr>
                    </wps:wsp>
                  </a:graphicData>
                </a:graphic>
              </wp:anchor>
            </w:drawing>
          </mc:Choice>
          <mc:Fallback>
            <w:pict>
              <v:shape w14:anchorId="65AD710B" id="Textbox 18" o:spid="_x0000_s1033" type="#_x0000_t202" style="position:absolute;left:0;text-align:left;margin-left:101pt;margin-top:441.7pt;width:422.05pt;height:43.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" filled="f" strokeweight=".16967mm">
                <v:path arrowok="t"/>
                <v:textbox inset="0,0,0,0">
                  <w:txbxContent>
                    <w:p w14:paraId="2B593745" w14:textId="77777777" w:rsidR="008512AB" w:rsidRPr="00366213" w:rsidRDefault="008512AB" w:rsidP="008512AB">
                      <w:pPr>
                        <w:pStyle w:val="BodyText"/>
                        <w:spacing w:line="256" w:lineRule="auto"/>
                        <w:ind w:left="103" w:right="98"/>
                        <w:jc w:val="both"/>
                      </w:pPr>
                      <w:r w:rsidRPr="00366213">
                        <w:rPr>
                          <w:b/>
                        </w:rPr>
                        <w:t>Authorising Officers</w:t>
                      </w:r>
                      <w:r w:rsidRPr="00366213">
                        <w:t>: When taking a decision to deploy LFR, Authorising Officers should record what other methods, as appropriate, were either not implemented or have been employed but which were assessed to be insufficient or inappropriate to fulfil HERTFORDSHIRE CONSTABULARY’s aim.</w:t>
                      </w:r>
                    </w:p>
                  </w:txbxContent>
                </v:textbox>
                <w10:wrap type="topAndBottom" anchorx="page"/>
              </v:shape>
            </w:pict>
          </mc:Fallback>
        </mc:AlternateContent>
      </w:r>
    </w:p>
    <w:p w14:paraId="7DF55403" w14:textId="77777777" w:rsidR="00794B71" w:rsidRDefault="00794B71" w:rsidP="00794B71">
      <w:pPr>
        <w:pStyle w:val="NoSpacing"/>
        <w:ind w:left="720"/>
      </w:pPr>
      <w:r>
        <w:t>Locations assessed as having a high expectation of privacy, where the public would have little option to avoid the LFR area without substantial inconvenience, should generally be avoided. Exceptions may apply only where the Authorising Officer is satisfied that the use of LFR remains necessary and proportionate, based on:</w:t>
      </w:r>
    </w:p>
    <w:p w14:paraId="47E6BD70" w14:textId="77777777" w:rsidR="00794B71" w:rsidRDefault="00794B71" w:rsidP="004A04CE">
      <w:pPr>
        <w:pStyle w:val="NoSpacing"/>
        <w:numPr>
          <w:ilvl w:val="0"/>
          <w:numId w:val="22"/>
        </w:numPr>
      </w:pPr>
      <w:r>
        <w:t>Legitimate Aim – The importance of deploying LFR in that location to achieve a legitimate policing objective.</w:t>
      </w:r>
    </w:p>
    <w:p w14:paraId="79D66322" w14:textId="77777777" w:rsidR="00794B71" w:rsidRDefault="00794B71" w:rsidP="00933505">
      <w:pPr>
        <w:pStyle w:val="NoSpacing"/>
        <w:numPr>
          <w:ilvl w:val="0"/>
          <w:numId w:val="22"/>
        </w:numPr>
      </w:pPr>
      <w:r>
        <w:t>No Viable Alternative – The absence of a less intrusive, effective method available in the circumstances.</w:t>
      </w:r>
    </w:p>
    <w:p w14:paraId="01A865C7" w14:textId="72D53EC8" w:rsidR="00794B71" w:rsidRDefault="00794B71" w:rsidP="00933505">
      <w:pPr>
        <w:pStyle w:val="NoSpacing"/>
        <w:numPr>
          <w:ilvl w:val="0"/>
          <w:numId w:val="22"/>
        </w:numPr>
      </w:pPr>
      <w:r>
        <w:t>Mitigation Measures – Implementation of additional steps to minimise any impact on the wider public as far as reasonably possible.</w:t>
      </w:r>
    </w:p>
    <w:p w14:paraId="1DD1BFB0" w14:textId="77777777" w:rsidR="00997608" w:rsidRDefault="00997608" w:rsidP="00997608">
      <w:pPr>
        <w:pStyle w:val="NoSpacing"/>
      </w:pPr>
    </w:p>
    <w:p w14:paraId="0CDD8F23" w14:textId="77777777" w:rsidR="00997608" w:rsidRDefault="00997608" w:rsidP="00997608">
      <w:pPr>
        <w:pStyle w:val="NoSpacing"/>
      </w:pPr>
    </w:p>
    <w:p w14:paraId="7758429E" w14:textId="77777777" w:rsidR="00997608" w:rsidRDefault="00997608" w:rsidP="00997608">
      <w:pPr>
        <w:pStyle w:val="NoSpacing"/>
      </w:pPr>
    </w:p>
    <w:p w14:paraId="02C340F0" w14:textId="77777777" w:rsidR="00997608" w:rsidRDefault="00997608" w:rsidP="00997608">
      <w:pPr>
        <w:pStyle w:val="NoSpacing"/>
      </w:pPr>
    </w:p>
    <w:p w14:paraId="45587C0C" w14:textId="77777777" w:rsidR="00997608" w:rsidRDefault="00997608" w:rsidP="00997608">
      <w:pPr>
        <w:pStyle w:val="NoSpacing"/>
      </w:pPr>
    </w:p>
    <w:p w14:paraId="647DB24E" w14:textId="77777777" w:rsidR="00997608" w:rsidRDefault="00997608" w:rsidP="00997608">
      <w:pPr>
        <w:pStyle w:val="NoSpacing"/>
      </w:pPr>
    </w:p>
    <w:p w14:paraId="18C271F4" w14:textId="77777777" w:rsidR="00997608" w:rsidRDefault="00997608" w:rsidP="00997608">
      <w:pPr>
        <w:pStyle w:val="NoSpacing"/>
      </w:pPr>
    </w:p>
    <w:p w14:paraId="1AB36BBA" w14:textId="77777777" w:rsidR="00997608" w:rsidRDefault="00997608" w:rsidP="00997608">
      <w:pPr>
        <w:pStyle w:val="NoSpacing"/>
      </w:pPr>
    </w:p>
    <w:p w14:paraId="416D7D2B" w14:textId="77777777" w:rsidR="00997608" w:rsidRDefault="00997608" w:rsidP="00997608">
      <w:pPr>
        <w:pStyle w:val="NoSpacing"/>
      </w:pPr>
    </w:p>
    <w:p w14:paraId="4554E69C" w14:textId="43828BDB" w:rsidR="00997608" w:rsidRDefault="008E3BCC" w:rsidP="00997608">
      <w:pPr>
        <w:pStyle w:val="NoSpacing"/>
      </w:pPr>
      <w:r>
        <w:rPr>
          <w:noProof/>
        </w:rPr>
        <w:lastRenderedPageBreak/>
        <mc:AlternateContent>
          <mc:Choice Requires="wps">
            <w:drawing>
              <wp:anchor distT="0" distB="0" distL="114300" distR="114300" simplePos="0" relativeHeight="251658752" behindDoc="0" locked="0" layoutInCell="1" allowOverlap="1" wp14:anchorId="39E17388" wp14:editId="7C0AB9F6">
                <wp:simplePos x="0" y="0"/>
                <wp:positionH relativeFrom="margin">
                  <wp:align>left</wp:align>
                </wp:positionH>
                <wp:positionV relativeFrom="paragraph">
                  <wp:posOffset>0</wp:posOffset>
                </wp:positionV>
                <wp:extent cx="5401310" cy="3168502"/>
                <wp:effectExtent l="0" t="0" r="27940" b="13335"/>
                <wp:wrapNone/>
                <wp:docPr id="196193763" name="Text Box 1"/>
                <wp:cNvGraphicFramePr/>
                <a:graphic xmlns:a="http://schemas.openxmlformats.org/drawingml/2006/main">
                  <a:graphicData uri="http://schemas.microsoft.com/office/word/2010/wordprocessingShape">
                    <wps:wsp>
                      <wps:cNvSpPr txBox="1"/>
                      <wps:spPr>
                        <a:xfrm>
                          <a:off x="0" y="0"/>
                          <a:ext cx="5401310" cy="3168502"/>
                        </a:xfrm>
                        <a:prstGeom prst="rect">
                          <a:avLst/>
                        </a:prstGeom>
                        <a:solidFill>
                          <a:schemeClr val="lt1"/>
                        </a:solidFill>
                        <a:ln w="6350">
                          <a:solidFill>
                            <a:prstClr val="black"/>
                          </a:solidFill>
                        </a:ln>
                      </wps:spPr>
                      <wps:txbx>
                        <w:txbxContent>
                          <w:p w14:paraId="7A34D117" w14:textId="77777777" w:rsidR="008E3BCC" w:rsidRPr="008E3BCC" w:rsidRDefault="008E3BCC" w:rsidP="008E3BCC">
                            <w:pPr>
                              <w:rPr>
                                <w:sz w:val="22"/>
                                <w:szCs w:val="22"/>
                              </w:rPr>
                            </w:pPr>
                            <w:r>
                              <w:rPr>
                                <w:b/>
                                <w:bCs/>
                                <w:sz w:val="22"/>
                                <w:szCs w:val="22"/>
                              </w:rPr>
                              <w:t xml:space="preserve">Example: </w:t>
                            </w:r>
                            <w:r w:rsidRPr="008E3BCC">
                              <w:rPr>
                                <w:sz w:val="22"/>
                                <w:szCs w:val="22"/>
                              </w:rPr>
                              <w:t>Areas that primarily provide facilities or attractions for children typically attract a higher expectation of privacy compared to locations frequented by the general public. For instance, the public would not expect LFR to be deployed outside a toy shop or school where children disproportionately pass through the Zone of Recognition, particularly if the system could be sited elsewhere.</w:t>
                            </w:r>
                          </w:p>
                          <w:p w14:paraId="434831A0" w14:textId="6AEF521D" w:rsidR="008E3BCC" w:rsidRPr="008E3BCC" w:rsidRDefault="008E3BCC" w:rsidP="008E3BCC">
                            <w:pPr>
                              <w:rPr>
                                <w:sz w:val="22"/>
                                <w:szCs w:val="22"/>
                              </w:rPr>
                            </w:pPr>
                            <w:r w:rsidRPr="008E3BCC">
                              <w:rPr>
                                <w:sz w:val="22"/>
                                <w:szCs w:val="22"/>
                              </w:rPr>
                              <w:t>However, there may be circumstances where deployment is necessary and proportionate, such as when intelligence indicates that wanted sex offenders are targeting children at the location and no less intrusive alternative exists. In such cases, mitigations should be implemented to reduce privacy impact, including:</w:t>
                            </w:r>
                          </w:p>
                          <w:p w14:paraId="43A4A097" w14:textId="77777777" w:rsidR="008E3BCC" w:rsidRPr="008E3BCC" w:rsidRDefault="008E3BCC" w:rsidP="008E3BCC">
                            <w:pPr>
                              <w:pStyle w:val="ListParagraph"/>
                              <w:numPr>
                                <w:ilvl w:val="0"/>
                                <w:numId w:val="23"/>
                              </w:numPr>
                              <w:rPr>
                                <w:sz w:val="22"/>
                                <w:szCs w:val="22"/>
                              </w:rPr>
                            </w:pPr>
                            <w:r w:rsidRPr="008E3BCC">
                              <w:rPr>
                                <w:sz w:val="22"/>
                                <w:szCs w:val="22"/>
                              </w:rPr>
                              <w:t>Enhanced Signage and Information – Ensure signage is accessible and understandable to children, tailored where necessary.</w:t>
                            </w:r>
                          </w:p>
                          <w:p w14:paraId="638380EF" w14:textId="11032CDC" w:rsidR="008E3BCC" w:rsidRPr="008E3BCC" w:rsidRDefault="008E3BCC" w:rsidP="008E3BCC">
                            <w:pPr>
                              <w:pStyle w:val="ListParagraph"/>
                              <w:numPr>
                                <w:ilvl w:val="0"/>
                                <w:numId w:val="23"/>
                              </w:numPr>
                              <w:rPr>
                                <w:sz w:val="22"/>
                                <w:szCs w:val="22"/>
                              </w:rPr>
                            </w:pPr>
                            <w:r w:rsidRPr="008E3BCC">
                              <w:rPr>
                                <w:sz w:val="22"/>
                                <w:szCs w:val="22"/>
                              </w:rPr>
                              <w:t>Timing and Zone Configuration – Where possible, and without increasing risk to children, adjust deployment times and Zone of Recognition to minimise the number of children assessed by the LFR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17388" id="_x0000_s1034" type="#_x0000_t202" style="position:absolute;margin-left:0;margin-top:0;width:425.3pt;height:249.5pt;z-index:2516587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tPAIAAIQEAAAOAAAAZHJzL2Uyb0RvYy54bWysVE1v2zAMvQ/YfxB0X2zna6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" fillcolor="white [3201]" strokeweight=".5pt">
                <v:textbox>
                  <w:txbxContent>
                    <w:p w14:paraId="7A34D117" w14:textId="77777777" w:rsidR="008E3BCC" w:rsidRPr="008E3BCC" w:rsidRDefault="008E3BCC" w:rsidP="008E3BCC">
                      <w:pPr>
                        <w:rPr>
                          <w:sz w:val="22"/>
                          <w:szCs w:val="22"/>
                        </w:rPr>
                      </w:pPr>
                      <w:r>
                        <w:rPr>
                          <w:b/>
                          <w:bCs/>
                          <w:sz w:val="22"/>
                          <w:szCs w:val="22"/>
                        </w:rPr>
                        <w:t xml:space="preserve">Example: </w:t>
                      </w:r>
                      <w:r w:rsidRPr="008E3BCC">
                        <w:rPr>
                          <w:sz w:val="22"/>
                          <w:szCs w:val="22"/>
                        </w:rPr>
                        <w:t xml:space="preserve">Areas that primarily provide facilities or attractions for children typically attract a higher expectation of privacy compared to locations frequented by the </w:t>
                      </w:r>
                      <w:proofErr w:type="gramStart"/>
                      <w:r w:rsidRPr="008E3BCC">
                        <w:rPr>
                          <w:sz w:val="22"/>
                          <w:szCs w:val="22"/>
                        </w:rPr>
                        <w:t>general public</w:t>
                      </w:r>
                      <w:proofErr w:type="gramEnd"/>
                      <w:r w:rsidRPr="008E3BCC">
                        <w:rPr>
                          <w:sz w:val="22"/>
                          <w:szCs w:val="22"/>
                        </w:rPr>
                        <w:t>. For instance, the public would not expect LFR to be deployed outside a toy shop or school where children disproportionately pass through the Zone of Recognition, particularly if the system could be sited elsewhere.</w:t>
                      </w:r>
                    </w:p>
                    <w:p w14:paraId="434831A0" w14:textId="6AEF521D" w:rsidR="008E3BCC" w:rsidRPr="008E3BCC" w:rsidRDefault="008E3BCC" w:rsidP="008E3BCC">
                      <w:pPr>
                        <w:rPr>
                          <w:sz w:val="22"/>
                          <w:szCs w:val="22"/>
                        </w:rPr>
                      </w:pPr>
                      <w:r w:rsidRPr="008E3BCC">
                        <w:rPr>
                          <w:sz w:val="22"/>
                          <w:szCs w:val="22"/>
                        </w:rPr>
                        <w:t>However, there may be circumstances where deployment is necessary and proportionate, such as when intelligence indicates that wanted sex offenders are targeting children at the location and no less intrusive alternative exists. In such cases, mitigations should be implemented to reduce privacy impact, including:</w:t>
                      </w:r>
                    </w:p>
                    <w:p w14:paraId="43A4A097" w14:textId="77777777" w:rsidR="008E3BCC" w:rsidRPr="008E3BCC" w:rsidRDefault="008E3BCC" w:rsidP="008E3BCC">
                      <w:pPr>
                        <w:pStyle w:val="ListParagraph"/>
                        <w:numPr>
                          <w:ilvl w:val="0"/>
                          <w:numId w:val="23"/>
                        </w:numPr>
                        <w:rPr>
                          <w:sz w:val="22"/>
                          <w:szCs w:val="22"/>
                        </w:rPr>
                      </w:pPr>
                      <w:r w:rsidRPr="008E3BCC">
                        <w:rPr>
                          <w:sz w:val="22"/>
                          <w:szCs w:val="22"/>
                        </w:rPr>
                        <w:t>Enhanced Signage and Information – Ensure signage is accessible and understandable to children, tailored where necessary.</w:t>
                      </w:r>
                    </w:p>
                    <w:p w14:paraId="638380EF" w14:textId="11032CDC" w:rsidR="008E3BCC" w:rsidRPr="008E3BCC" w:rsidRDefault="008E3BCC" w:rsidP="008E3BCC">
                      <w:pPr>
                        <w:pStyle w:val="ListParagraph"/>
                        <w:numPr>
                          <w:ilvl w:val="0"/>
                          <w:numId w:val="23"/>
                        </w:numPr>
                        <w:rPr>
                          <w:sz w:val="22"/>
                          <w:szCs w:val="22"/>
                        </w:rPr>
                      </w:pPr>
                      <w:r w:rsidRPr="008E3BCC">
                        <w:rPr>
                          <w:sz w:val="22"/>
                          <w:szCs w:val="22"/>
                        </w:rPr>
                        <w:t>Timing and Zone Configuration – Where possible, and without increasing risk to children, adjust deployment times and Zone of Recognition to minimise the number of children assessed by the LFR system.</w:t>
                      </w:r>
                    </w:p>
                  </w:txbxContent>
                </v:textbox>
                <w10:wrap anchorx="margin"/>
              </v:shape>
            </w:pict>
          </mc:Fallback>
        </mc:AlternateContent>
      </w:r>
    </w:p>
    <w:p w14:paraId="244F5775" w14:textId="77777777" w:rsidR="00867848" w:rsidRPr="00867848" w:rsidRDefault="00867848" w:rsidP="00867848"/>
    <w:p w14:paraId="71A11F67" w14:textId="77777777" w:rsidR="00867848" w:rsidRPr="00867848" w:rsidRDefault="00867848" w:rsidP="00867848"/>
    <w:p w14:paraId="78491BA9" w14:textId="77777777" w:rsidR="00867848" w:rsidRPr="00867848" w:rsidRDefault="00867848" w:rsidP="00867848"/>
    <w:p w14:paraId="3940E789" w14:textId="77777777" w:rsidR="00867848" w:rsidRPr="00867848" w:rsidRDefault="00867848" w:rsidP="00867848"/>
    <w:p w14:paraId="23BA5C5F" w14:textId="77777777" w:rsidR="00867848" w:rsidRPr="00867848" w:rsidRDefault="00867848" w:rsidP="00867848"/>
    <w:p w14:paraId="3B0726D5" w14:textId="77777777" w:rsidR="00867848" w:rsidRPr="00867848" w:rsidRDefault="00867848" w:rsidP="00867848"/>
    <w:p w14:paraId="1886C56D" w14:textId="77777777" w:rsidR="00867848" w:rsidRPr="00867848" w:rsidRDefault="00867848" w:rsidP="00867848"/>
    <w:p w14:paraId="00087E85" w14:textId="77777777" w:rsidR="00867848" w:rsidRPr="00867848" w:rsidRDefault="00867848" w:rsidP="00867848"/>
    <w:p w14:paraId="194F62EF" w14:textId="77777777" w:rsidR="00867848" w:rsidRPr="00867848" w:rsidRDefault="00867848" w:rsidP="00867848"/>
    <w:p w14:paraId="4A17C976" w14:textId="023C29CD" w:rsidR="00867848" w:rsidRPr="00867848" w:rsidRDefault="00C91663" w:rsidP="00867848">
      <w:r>
        <w:rPr>
          <w:noProof/>
        </w:rPr>
        <mc:AlternateContent>
          <mc:Choice Requires="wps">
            <w:drawing>
              <wp:anchor distT="0" distB="0" distL="114300" distR="114300" simplePos="0" relativeHeight="251659776" behindDoc="0" locked="0" layoutInCell="1" allowOverlap="1" wp14:anchorId="6BD8B492" wp14:editId="591C5DC3">
                <wp:simplePos x="0" y="0"/>
                <wp:positionH relativeFrom="margin">
                  <wp:align>left</wp:align>
                </wp:positionH>
                <wp:positionV relativeFrom="paragraph">
                  <wp:posOffset>323215</wp:posOffset>
                </wp:positionV>
                <wp:extent cx="5401310" cy="2115820"/>
                <wp:effectExtent l="0" t="0" r="27940" b="17780"/>
                <wp:wrapNone/>
                <wp:docPr id="1998172870" name="Text Box 1"/>
                <wp:cNvGraphicFramePr/>
                <a:graphic xmlns:a="http://schemas.openxmlformats.org/drawingml/2006/main">
                  <a:graphicData uri="http://schemas.microsoft.com/office/word/2010/wordprocessingShape">
                    <wps:wsp>
                      <wps:cNvSpPr txBox="1"/>
                      <wps:spPr>
                        <a:xfrm>
                          <a:off x="0" y="0"/>
                          <a:ext cx="5401310" cy="2115820"/>
                        </a:xfrm>
                        <a:prstGeom prst="rect">
                          <a:avLst/>
                        </a:prstGeom>
                        <a:solidFill>
                          <a:schemeClr val="lt1"/>
                        </a:solidFill>
                        <a:ln w="6350">
                          <a:solidFill>
                            <a:prstClr val="black"/>
                          </a:solidFill>
                        </a:ln>
                      </wps:spPr>
                      <wps:txbx>
                        <w:txbxContent>
                          <w:p w14:paraId="5F8E96D6" w14:textId="77777777" w:rsidR="00585160" w:rsidRPr="00585160" w:rsidRDefault="00585160" w:rsidP="00585160">
                            <w:pPr>
                              <w:rPr>
                                <w:sz w:val="22"/>
                                <w:szCs w:val="22"/>
                              </w:rPr>
                            </w:pPr>
                            <w:r>
                              <w:rPr>
                                <w:b/>
                                <w:bCs/>
                                <w:sz w:val="22"/>
                                <w:szCs w:val="22"/>
                              </w:rPr>
                              <w:t xml:space="preserve">Example: </w:t>
                            </w:r>
                            <w:r w:rsidRPr="00585160">
                              <w:rPr>
                                <w:sz w:val="22"/>
                                <w:szCs w:val="22"/>
                              </w:rPr>
                              <w:t>If intelligence supports a necessity and proportionality case to deploy LFR in a residential suburban area—for instance, to locate a group of burglary offenders—it is recognised that such areas generally attract a greater expectation of privacy compared to non-residential locations.</w:t>
                            </w:r>
                          </w:p>
                          <w:p w14:paraId="5F2A1B35" w14:textId="5ABB3B00" w:rsidR="00585160" w:rsidRPr="00585160" w:rsidRDefault="00585160" w:rsidP="00585160">
                            <w:pPr>
                              <w:rPr>
                                <w:sz w:val="22"/>
                                <w:szCs w:val="22"/>
                              </w:rPr>
                            </w:pPr>
                            <w:r w:rsidRPr="00585160">
                              <w:rPr>
                                <w:sz w:val="22"/>
                                <w:szCs w:val="22"/>
                              </w:rPr>
                              <w:t>To mitigate this impact, Hertfordshire Constabulary may implement additional communication measures, such as:</w:t>
                            </w:r>
                          </w:p>
                          <w:p w14:paraId="6D62ABC6" w14:textId="77777777" w:rsidR="00585160" w:rsidRPr="00585160" w:rsidRDefault="00585160" w:rsidP="00585160">
                            <w:pPr>
                              <w:pStyle w:val="ListParagraph"/>
                              <w:numPr>
                                <w:ilvl w:val="0"/>
                                <w:numId w:val="24"/>
                              </w:numPr>
                              <w:rPr>
                                <w:sz w:val="22"/>
                                <w:szCs w:val="22"/>
                              </w:rPr>
                            </w:pPr>
                            <w:r w:rsidRPr="00585160">
                              <w:rPr>
                                <w:sz w:val="22"/>
                                <w:szCs w:val="22"/>
                              </w:rPr>
                              <w:t>Leafleting local residents to inform them of the deployment; and/or</w:t>
                            </w:r>
                          </w:p>
                          <w:p w14:paraId="62E6C741" w14:textId="7D64BDDE" w:rsidR="00585160" w:rsidRPr="00585160" w:rsidRDefault="00585160" w:rsidP="00585160">
                            <w:pPr>
                              <w:pStyle w:val="ListParagraph"/>
                              <w:numPr>
                                <w:ilvl w:val="0"/>
                                <w:numId w:val="24"/>
                              </w:numPr>
                              <w:rPr>
                                <w:sz w:val="22"/>
                                <w:szCs w:val="22"/>
                              </w:rPr>
                            </w:pPr>
                            <w:r w:rsidRPr="00585160">
                              <w:rPr>
                                <w:sz w:val="22"/>
                                <w:szCs w:val="22"/>
                              </w:rPr>
                              <w:t>Posting notifications on local neighbourhood social media groups to ensure transparency and public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8B492" id="_x0000_s1035" type="#_x0000_t202" style="position:absolute;margin-left:0;margin-top:25.45pt;width:425.3pt;height:166.6pt;z-index:2516597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" fillcolor="white [3201]" strokeweight=".5pt">
                <v:textbox>
                  <w:txbxContent>
                    <w:p w14:paraId="5F8E96D6" w14:textId="77777777" w:rsidR="00585160" w:rsidRPr="00585160" w:rsidRDefault="00585160" w:rsidP="00585160">
                      <w:pPr>
                        <w:rPr>
                          <w:sz w:val="22"/>
                          <w:szCs w:val="22"/>
                        </w:rPr>
                      </w:pPr>
                      <w:r>
                        <w:rPr>
                          <w:b/>
                          <w:bCs/>
                          <w:sz w:val="22"/>
                          <w:szCs w:val="22"/>
                        </w:rPr>
                        <w:t xml:space="preserve">Example: </w:t>
                      </w:r>
                      <w:r w:rsidRPr="00585160">
                        <w:rPr>
                          <w:sz w:val="22"/>
                          <w:szCs w:val="22"/>
                        </w:rPr>
                        <w:t>If intelligence supports a necessity and proportionality case to deploy LFR in a residential suburban area—for instance, to locate a group of burglary offenders—it is recognised that such areas generally attract a greater expectation of privacy compared to non-residential locations.</w:t>
                      </w:r>
                    </w:p>
                    <w:p w14:paraId="5F2A1B35" w14:textId="5ABB3B00" w:rsidR="00585160" w:rsidRPr="00585160" w:rsidRDefault="00585160" w:rsidP="00585160">
                      <w:pPr>
                        <w:rPr>
                          <w:sz w:val="22"/>
                          <w:szCs w:val="22"/>
                        </w:rPr>
                      </w:pPr>
                      <w:r w:rsidRPr="00585160">
                        <w:rPr>
                          <w:sz w:val="22"/>
                          <w:szCs w:val="22"/>
                        </w:rPr>
                        <w:t>To mitigate this impact, Hertfordshire Constabulary may implement additional communication measures, such as:</w:t>
                      </w:r>
                    </w:p>
                    <w:p w14:paraId="6D62ABC6" w14:textId="77777777" w:rsidR="00585160" w:rsidRPr="00585160" w:rsidRDefault="00585160" w:rsidP="00585160">
                      <w:pPr>
                        <w:pStyle w:val="ListParagraph"/>
                        <w:numPr>
                          <w:ilvl w:val="0"/>
                          <w:numId w:val="24"/>
                        </w:numPr>
                        <w:rPr>
                          <w:sz w:val="22"/>
                          <w:szCs w:val="22"/>
                        </w:rPr>
                      </w:pPr>
                      <w:r w:rsidRPr="00585160">
                        <w:rPr>
                          <w:sz w:val="22"/>
                          <w:szCs w:val="22"/>
                        </w:rPr>
                        <w:t xml:space="preserve">Leafleting </w:t>
                      </w:r>
                      <w:proofErr w:type="gramStart"/>
                      <w:r w:rsidRPr="00585160">
                        <w:rPr>
                          <w:sz w:val="22"/>
                          <w:szCs w:val="22"/>
                        </w:rPr>
                        <w:t>local residents</w:t>
                      </w:r>
                      <w:proofErr w:type="gramEnd"/>
                      <w:r w:rsidRPr="00585160">
                        <w:rPr>
                          <w:sz w:val="22"/>
                          <w:szCs w:val="22"/>
                        </w:rPr>
                        <w:t xml:space="preserve"> to inform them of the deployment; and/or</w:t>
                      </w:r>
                    </w:p>
                    <w:p w14:paraId="62E6C741" w14:textId="7D64BDDE" w:rsidR="00585160" w:rsidRPr="00585160" w:rsidRDefault="00585160" w:rsidP="00585160">
                      <w:pPr>
                        <w:pStyle w:val="ListParagraph"/>
                        <w:numPr>
                          <w:ilvl w:val="0"/>
                          <w:numId w:val="24"/>
                        </w:numPr>
                        <w:rPr>
                          <w:sz w:val="22"/>
                          <w:szCs w:val="22"/>
                        </w:rPr>
                      </w:pPr>
                      <w:r w:rsidRPr="00585160">
                        <w:rPr>
                          <w:sz w:val="22"/>
                          <w:szCs w:val="22"/>
                        </w:rPr>
                        <w:t>Posting notifications on local neighbourhood social media groups to ensure transparency and public awareness.</w:t>
                      </w:r>
                    </w:p>
                  </w:txbxContent>
                </v:textbox>
                <w10:wrap anchorx="margin"/>
              </v:shape>
            </w:pict>
          </mc:Fallback>
        </mc:AlternateContent>
      </w:r>
    </w:p>
    <w:p w14:paraId="2FEE9106" w14:textId="77777777" w:rsidR="00867848" w:rsidRPr="00867848" w:rsidRDefault="00867848" w:rsidP="00867848"/>
    <w:p w14:paraId="68D86DCB" w14:textId="7FCE04CB" w:rsidR="00867848" w:rsidRPr="00867848" w:rsidRDefault="00867848" w:rsidP="00867848"/>
    <w:p w14:paraId="55519D36" w14:textId="77777777" w:rsidR="00867848" w:rsidRPr="00867848" w:rsidRDefault="00867848" w:rsidP="00867848"/>
    <w:p w14:paraId="71DB8560" w14:textId="77777777" w:rsidR="00867848" w:rsidRPr="00867848" w:rsidRDefault="00867848" w:rsidP="00867848"/>
    <w:p w14:paraId="34E284CB" w14:textId="7CAB090F" w:rsidR="00867848" w:rsidRPr="00867848" w:rsidRDefault="00867848" w:rsidP="00867848"/>
    <w:p w14:paraId="1F3C9125" w14:textId="77777777" w:rsidR="00867848" w:rsidRPr="00867848" w:rsidRDefault="00867848" w:rsidP="00867848"/>
    <w:p w14:paraId="1779302D" w14:textId="7F32DF10" w:rsidR="00867848" w:rsidRPr="00867848" w:rsidRDefault="00867848" w:rsidP="00867848"/>
    <w:p w14:paraId="0DF78688" w14:textId="24BA3831" w:rsidR="00867848" w:rsidRDefault="00867848" w:rsidP="00867848"/>
    <w:p w14:paraId="749B37B5" w14:textId="77777777" w:rsidR="00C91663" w:rsidRDefault="00C91663" w:rsidP="00867848"/>
    <w:p w14:paraId="1A510C57" w14:textId="77777777" w:rsidR="00C91663" w:rsidRDefault="00C91663" w:rsidP="00867848"/>
    <w:p w14:paraId="3D710FB4" w14:textId="77777777" w:rsidR="00C91663" w:rsidRDefault="00C91663" w:rsidP="00867848"/>
    <w:p w14:paraId="48161E59" w14:textId="77777777" w:rsidR="00C91663" w:rsidRDefault="00C91663" w:rsidP="00867848"/>
    <w:p w14:paraId="26402766" w14:textId="0674BE69" w:rsidR="00C91663" w:rsidRDefault="00C91663" w:rsidP="00867848"/>
    <w:p w14:paraId="0D12798E" w14:textId="2569E01B" w:rsidR="00867848" w:rsidRDefault="00C91663" w:rsidP="00867848">
      <w:r w:rsidRPr="00366213">
        <w:rPr>
          <w:rFonts w:ascii="Arial" w:hAnsi="Arial" w:cs="Arial"/>
          <w:noProof/>
          <w:sz w:val="20"/>
        </w:rPr>
        <mc:AlternateContent>
          <mc:Choice Requires="wps">
            <w:drawing>
              <wp:anchor distT="0" distB="0" distL="0" distR="0" simplePos="0" relativeHeight="251660800" behindDoc="1" locked="0" layoutInCell="1" allowOverlap="1" wp14:anchorId="67315499" wp14:editId="4A2BC331">
                <wp:simplePos x="0" y="0"/>
                <wp:positionH relativeFrom="margin">
                  <wp:align>left</wp:align>
                </wp:positionH>
                <wp:positionV relativeFrom="paragraph">
                  <wp:posOffset>316230</wp:posOffset>
                </wp:positionV>
                <wp:extent cx="5187950" cy="1030605"/>
                <wp:effectExtent l="0" t="0" r="12700" b="17145"/>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1030605"/>
                        </a:xfrm>
                        <a:prstGeom prst="rect">
                          <a:avLst/>
                        </a:prstGeom>
                        <a:ln w="6108">
                          <a:solidFill>
                            <a:srgbClr val="000000"/>
                          </a:solidFill>
                          <a:prstDash val="solid"/>
                        </a:ln>
                      </wps:spPr>
                      <wps:txbx>
                        <w:txbxContent>
                          <w:p w14:paraId="0BDD0C14" w14:textId="77777777" w:rsidR="00C91663" w:rsidRPr="00366213" w:rsidRDefault="00C91663" w:rsidP="00C91663">
                            <w:pPr>
                              <w:pStyle w:val="BodyText"/>
                              <w:ind w:left="103" w:right="98"/>
                              <w:jc w:val="both"/>
                            </w:pPr>
                            <w:r w:rsidRPr="00366213">
                              <w:rPr>
                                <w:b/>
                              </w:rPr>
                              <w:t>Authorising Officers</w:t>
                            </w:r>
                            <w:r w:rsidRPr="00366213">
                              <w:t>: When taking a decision to deploy LFR, Authorising Officers should record</w:t>
                            </w:r>
                            <w:r w:rsidRPr="00366213">
                              <w:rPr>
                                <w:spacing w:val="-10"/>
                              </w:rPr>
                              <w:t xml:space="preserve"> </w:t>
                            </w:r>
                            <w:r w:rsidRPr="00366213">
                              <w:t>the</w:t>
                            </w:r>
                            <w:r w:rsidRPr="00366213">
                              <w:rPr>
                                <w:spacing w:val="-8"/>
                              </w:rPr>
                              <w:t xml:space="preserve"> </w:t>
                            </w:r>
                            <w:r w:rsidRPr="00366213">
                              <w:t>measures</w:t>
                            </w:r>
                            <w:r w:rsidRPr="00366213">
                              <w:rPr>
                                <w:spacing w:val="-6"/>
                              </w:rPr>
                              <w:t xml:space="preserve"> </w:t>
                            </w:r>
                            <w:r w:rsidRPr="00366213">
                              <w:t>taken</w:t>
                            </w:r>
                            <w:r w:rsidRPr="00366213">
                              <w:rPr>
                                <w:spacing w:val="-10"/>
                              </w:rPr>
                              <w:t xml:space="preserve"> </w:t>
                            </w:r>
                            <w:r w:rsidRPr="00366213">
                              <w:t>to</w:t>
                            </w:r>
                            <w:r w:rsidRPr="00366213">
                              <w:rPr>
                                <w:spacing w:val="-5"/>
                              </w:rPr>
                              <w:t xml:space="preserve"> </w:t>
                            </w:r>
                            <w:r w:rsidRPr="00366213">
                              <w:t>ensure</w:t>
                            </w:r>
                            <w:r w:rsidRPr="00366213">
                              <w:rPr>
                                <w:spacing w:val="-6"/>
                              </w:rPr>
                              <w:t xml:space="preserve"> </w:t>
                            </w:r>
                            <w:r w:rsidRPr="00366213">
                              <w:t>the</w:t>
                            </w:r>
                            <w:r w:rsidRPr="00366213">
                              <w:rPr>
                                <w:spacing w:val="-6"/>
                              </w:rPr>
                              <w:t xml:space="preserve"> </w:t>
                            </w:r>
                            <w:r w:rsidRPr="00366213">
                              <w:t>use</w:t>
                            </w:r>
                            <w:r w:rsidRPr="00366213">
                              <w:rPr>
                                <w:spacing w:val="-8"/>
                              </w:rPr>
                              <w:t xml:space="preserve"> </w:t>
                            </w:r>
                            <w:r w:rsidRPr="00366213">
                              <w:t>of</w:t>
                            </w:r>
                            <w:r w:rsidRPr="00366213">
                              <w:rPr>
                                <w:spacing w:val="-7"/>
                              </w:rPr>
                              <w:t xml:space="preserve"> </w:t>
                            </w:r>
                            <w:r w:rsidRPr="00366213">
                              <w:t>LFR</w:t>
                            </w:r>
                            <w:r w:rsidRPr="00366213">
                              <w:rPr>
                                <w:spacing w:val="-9"/>
                              </w:rPr>
                              <w:t xml:space="preserve"> </w:t>
                            </w:r>
                            <w:r w:rsidRPr="00366213">
                              <w:t>causes</w:t>
                            </w:r>
                            <w:r w:rsidRPr="00366213">
                              <w:rPr>
                                <w:spacing w:val="-7"/>
                              </w:rPr>
                              <w:t xml:space="preserve"> </w:t>
                            </w:r>
                            <w:r w:rsidRPr="00366213">
                              <w:t>the</w:t>
                            </w:r>
                            <w:r w:rsidRPr="00366213">
                              <w:rPr>
                                <w:spacing w:val="-6"/>
                              </w:rPr>
                              <w:t xml:space="preserve"> </w:t>
                            </w:r>
                            <w:r w:rsidRPr="00366213">
                              <w:t>least</w:t>
                            </w:r>
                            <w:r w:rsidRPr="00366213">
                              <w:rPr>
                                <w:spacing w:val="-6"/>
                              </w:rPr>
                              <w:t xml:space="preserve"> </w:t>
                            </w:r>
                            <w:r w:rsidRPr="00366213">
                              <w:t>possible</w:t>
                            </w:r>
                            <w:r w:rsidRPr="00366213">
                              <w:rPr>
                                <w:spacing w:val="-6"/>
                              </w:rPr>
                              <w:t xml:space="preserve"> </w:t>
                            </w:r>
                            <w:r w:rsidRPr="00366213">
                              <w:t>interference to</w:t>
                            </w:r>
                            <w:r w:rsidRPr="00366213">
                              <w:rPr>
                                <w:spacing w:val="-9"/>
                              </w:rPr>
                              <w:t xml:space="preserve"> </w:t>
                            </w:r>
                            <w:r w:rsidRPr="00366213">
                              <w:t>the</w:t>
                            </w:r>
                            <w:r w:rsidRPr="00366213">
                              <w:rPr>
                                <w:spacing w:val="-9"/>
                              </w:rPr>
                              <w:t xml:space="preserve"> </w:t>
                            </w:r>
                            <w:r w:rsidRPr="00366213">
                              <w:t>person(s)</w:t>
                            </w:r>
                            <w:r w:rsidRPr="00366213">
                              <w:rPr>
                                <w:spacing w:val="-10"/>
                              </w:rPr>
                              <w:t xml:space="preserve"> </w:t>
                            </w:r>
                            <w:r w:rsidRPr="00366213">
                              <w:t>sought</w:t>
                            </w:r>
                            <w:r w:rsidRPr="00366213">
                              <w:rPr>
                                <w:spacing w:val="-10"/>
                              </w:rPr>
                              <w:t xml:space="preserve"> </w:t>
                            </w:r>
                            <w:r w:rsidRPr="00366213">
                              <w:t>and</w:t>
                            </w:r>
                            <w:r w:rsidRPr="00366213">
                              <w:rPr>
                                <w:spacing w:val="-13"/>
                              </w:rPr>
                              <w:t xml:space="preserve"> </w:t>
                            </w:r>
                            <w:r w:rsidRPr="00366213">
                              <w:t>others.</w:t>
                            </w:r>
                            <w:r w:rsidRPr="00366213">
                              <w:rPr>
                                <w:spacing w:val="-12"/>
                              </w:rPr>
                              <w:t xml:space="preserve"> </w:t>
                            </w:r>
                            <w:r w:rsidRPr="00366213">
                              <w:t>This</w:t>
                            </w:r>
                            <w:r w:rsidRPr="00366213">
                              <w:rPr>
                                <w:spacing w:val="-10"/>
                              </w:rPr>
                              <w:t xml:space="preserve"> </w:t>
                            </w:r>
                            <w:r w:rsidRPr="00366213">
                              <w:t>should</w:t>
                            </w:r>
                            <w:r w:rsidRPr="00366213">
                              <w:rPr>
                                <w:spacing w:val="-11"/>
                              </w:rPr>
                              <w:t xml:space="preserve"> </w:t>
                            </w:r>
                            <w:r w:rsidRPr="00366213">
                              <w:t>include</w:t>
                            </w:r>
                            <w:r w:rsidRPr="00366213">
                              <w:rPr>
                                <w:spacing w:val="-12"/>
                              </w:rPr>
                              <w:t xml:space="preserve"> </w:t>
                            </w:r>
                            <w:r w:rsidRPr="00366213">
                              <w:t>explicit</w:t>
                            </w:r>
                            <w:r w:rsidRPr="00366213">
                              <w:rPr>
                                <w:spacing w:val="-9"/>
                              </w:rPr>
                              <w:t xml:space="preserve"> </w:t>
                            </w:r>
                            <w:r w:rsidRPr="00366213">
                              <w:t>reference</w:t>
                            </w:r>
                            <w:r w:rsidRPr="00366213">
                              <w:rPr>
                                <w:spacing w:val="-9"/>
                              </w:rPr>
                              <w:t xml:space="preserve"> </w:t>
                            </w:r>
                            <w:r w:rsidRPr="00366213">
                              <w:t>to</w:t>
                            </w:r>
                            <w:r w:rsidRPr="00366213">
                              <w:rPr>
                                <w:spacing w:val="-9"/>
                              </w:rPr>
                              <w:t xml:space="preserve"> </w:t>
                            </w:r>
                            <w:r w:rsidRPr="00366213">
                              <w:t>any</w:t>
                            </w:r>
                            <w:r w:rsidRPr="00366213">
                              <w:rPr>
                                <w:spacing w:val="-9"/>
                              </w:rPr>
                              <w:t xml:space="preserve"> </w:t>
                            </w:r>
                            <w:r w:rsidRPr="00366213">
                              <w:t>particular privacy</w:t>
                            </w:r>
                            <w:r w:rsidRPr="00366213">
                              <w:rPr>
                                <w:spacing w:val="-12"/>
                              </w:rPr>
                              <w:t xml:space="preserve"> </w:t>
                            </w:r>
                            <w:r w:rsidRPr="00366213">
                              <w:t>considerations</w:t>
                            </w:r>
                            <w:r w:rsidRPr="00366213">
                              <w:rPr>
                                <w:spacing w:val="-12"/>
                              </w:rPr>
                              <w:t xml:space="preserve"> </w:t>
                            </w:r>
                            <w:r w:rsidRPr="00366213">
                              <w:t>that</w:t>
                            </w:r>
                            <w:r w:rsidRPr="00366213">
                              <w:rPr>
                                <w:spacing w:val="-12"/>
                              </w:rPr>
                              <w:t xml:space="preserve"> </w:t>
                            </w:r>
                            <w:r w:rsidRPr="00366213">
                              <w:t>may</w:t>
                            </w:r>
                            <w:r w:rsidRPr="00366213">
                              <w:rPr>
                                <w:spacing w:val="-9"/>
                              </w:rPr>
                              <w:t xml:space="preserve"> </w:t>
                            </w:r>
                            <w:r w:rsidRPr="00366213">
                              <w:t>be</w:t>
                            </w:r>
                            <w:r w:rsidRPr="00366213">
                              <w:rPr>
                                <w:spacing w:val="-9"/>
                              </w:rPr>
                              <w:t xml:space="preserve"> </w:t>
                            </w:r>
                            <w:r w:rsidRPr="00366213">
                              <w:t>relevant</w:t>
                            </w:r>
                            <w:r w:rsidRPr="00366213">
                              <w:rPr>
                                <w:spacing w:val="-12"/>
                              </w:rPr>
                              <w:t xml:space="preserve"> </w:t>
                            </w:r>
                            <w:r w:rsidRPr="00366213">
                              <w:t>to</w:t>
                            </w:r>
                            <w:r w:rsidRPr="00366213">
                              <w:rPr>
                                <w:spacing w:val="-9"/>
                              </w:rPr>
                              <w:t xml:space="preserve"> </w:t>
                            </w:r>
                            <w:r w:rsidRPr="00366213">
                              <w:t>a</w:t>
                            </w:r>
                            <w:r w:rsidRPr="00366213">
                              <w:rPr>
                                <w:spacing w:val="-10"/>
                              </w:rPr>
                              <w:t xml:space="preserve"> </w:t>
                            </w:r>
                            <w:r w:rsidRPr="00366213">
                              <w:t>Deployment</w:t>
                            </w:r>
                            <w:r w:rsidRPr="00366213">
                              <w:rPr>
                                <w:spacing w:val="-9"/>
                              </w:rPr>
                              <w:t xml:space="preserve"> </w:t>
                            </w:r>
                            <w:r w:rsidRPr="00366213">
                              <w:t>location</w:t>
                            </w:r>
                            <w:r w:rsidRPr="00366213">
                              <w:rPr>
                                <w:spacing w:val="-11"/>
                              </w:rPr>
                              <w:t xml:space="preserve"> </w:t>
                            </w:r>
                            <w:r w:rsidRPr="00366213">
                              <w:t>and</w:t>
                            </w:r>
                            <w:r w:rsidRPr="00366213">
                              <w:rPr>
                                <w:spacing w:val="-11"/>
                              </w:rPr>
                              <w:t xml:space="preserve"> </w:t>
                            </w:r>
                            <w:r w:rsidRPr="00366213">
                              <w:t>any</w:t>
                            </w:r>
                            <w:r w:rsidRPr="00366213">
                              <w:rPr>
                                <w:spacing w:val="-12"/>
                              </w:rPr>
                              <w:t xml:space="preserve"> </w:t>
                            </w:r>
                            <w:r w:rsidRPr="00366213">
                              <w:t>mitigations in place to impact the impact of the LFR Deployment. Authorising Officers should then continue to review Deployments of LFR to ensure the use case remains appropriate.</w:t>
                            </w:r>
                          </w:p>
                        </w:txbxContent>
                      </wps:txbx>
                      <wps:bodyPr wrap="square" lIns="0" tIns="0" rIns="0" bIns="0" rtlCol="0">
                        <a:noAutofit/>
                      </wps:bodyPr>
                    </wps:wsp>
                  </a:graphicData>
                </a:graphic>
              </wp:anchor>
            </w:drawing>
          </mc:Choice>
          <mc:Fallback>
            <w:pict>
              <v:shape w14:anchorId="67315499" id="Textbox 21" o:spid="_x0000_s1036" type="#_x0000_t202" style="position:absolute;margin-left:0;margin-top:24.9pt;width:408.5pt;height:81.15pt;z-index:-251655680;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" filled="f" strokeweight=".16967mm">
                <v:path arrowok="t"/>
                <v:textbox inset="0,0,0,0">
                  <w:txbxContent>
                    <w:p w14:paraId="0BDD0C14" w14:textId="77777777" w:rsidR="00C91663" w:rsidRPr="00366213" w:rsidRDefault="00C91663" w:rsidP="00C91663">
                      <w:pPr>
                        <w:pStyle w:val="BodyText"/>
                        <w:ind w:left="103" w:right="98"/>
                        <w:jc w:val="both"/>
                      </w:pPr>
                      <w:r w:rsidRPr="00366213">
                        <w:rPr>
                          <w:b/>
                        </w:rPr>
                        <w:t>Authorising Officers</w:t>
                      </w:r>
                      <w:r w:rsidRPr="00366213">
                        <w:t>: When taking a decision to deploy LFR, Authorising Officers should record</w:t>
                      </w:r>
                      <w:r w:rsidRPr="00366213">
                        <w:rPr>
                          <w:spacing w:val="-10"/>
                        </w:rPr>
                        <w:t xml:space="preserve"> </w:t>
                      </w:r>
                      <w:r w:rsidRPr="00366213">
                        <w:t>the</w:t>
                      </w:r>
                      <w:r w:rsidRPr="00366213">
                        <w:rPr>
                          <w:spacing w:val="-8"/>
                        </w:rPr>
                        <w:t xml:space="preserve"> </w:t>
                      </w:r>
                      <w:r w:rsidRPr="00366213">
                        <w:t>measures</w:t>
                      </w:r>
                      <w:r w:rsidRPr="00366213">
                        <w:rPr>
                          <w:spacing w:val="-6"/>
                        </w:rPr>
                        <w:t xml:space="preserve"> </w:t>
                      </w:r>
                      <w:r w:rsidRPr="00366213">
                        <w:t>taken</w:t>
                      </w:r>
                      <w:r w:rsidRPr="00366213">
                        <w:rPr>
                          <w:spacing w:val="-10"/>
                        </w:rPr>
                        <w:t xml:space="preserve"> </w:t>
                      </w:r>
                      <w:r w:rsidRPr="00366213">
                        <w:t>to</w:t>
                      </w:r>
                      <w:r w:rsidRPr="00366213">
                        <w:rPr>
                          <w:spacing w:val="-5"/>
                        </w:rPr>
                        <w:t xml:space="preserve"> </w:t>
                      </w:r>
                      <w:r w:rsidRPr="00366213">
                        <w:t>ensure</w:t>
                      </w:r>
                      <w:r w:rsidRPr="00366213">
                        <w:rPr>
                          <w:spacing w:val="-6"/>
                        </w:rPr>
                        <w:t xml:space="preserve"> </w:t>
                      </w:r>
                      <w:r w:rsidRPr="00366213">
                        <w:t>the</w:t>
                      </w:r>
                      <w:r w:rsidRPr="00366213">
                        <w:rPr>
                          <w:spacing w:val="-6"/>
                        </w:rPr>
                        <w:t xml:space="preserve"> </w:t>
                      </w:r>
                      <w:r w:rsidRPr="00366213">
                        <w:t>use</w:t>
                      </w:r>
                      <w:r w:rsidRPr="00366213">
                        <w:rPr>
                          <w:spacing w:val="-8"/>
                        </w:rPr>
                        <w:t xml:space="preserve"> </w:t>
                      </w:r>
                      <w:r w:rsidRPr="00366213">
                        <w:t>of</w:t>
                      </w:r>
                      <w:r w:rsidRPr="00366213">
                        <w:rPr>
                          <w:spacing w:val="-7"/>
                        </w:rPr>
                        <w:t xml:space="preserve"> </w:t>
                      </w:r>
                      <w:r w:rsidRPr="00366213">
                        <w:t>LFR</w:t>
                      </w:r>
                      <w:r w:rsidRPr="00366213">
                        <w:rPr>
                          <w:spacing w:val="-9"/>
                        </w:rPr>
                        <w:t xml:space="preserve"> </w:t>
                      </w:r>
                      <w:r w:rsidRPr="00366213">
                        <w:t>causes</w:t>
                      </w:r>
                      <w:r w:rsidRPr="00366213">
                        <w:rPr>
                          <w:spacing w:val="-7"/>
                        </w:rPr>
                        <w:t xml:space="preserve"> </w:t>
                      </w:r>
                      <w:r w:rsidRPr="00366213">
                        <w:t>the</w:t>
                      </w:r>
                      <w:r w:rsidRPr="00366213">
                        <w:rPr>
                          <w:spacing w:val="-6"/>
                        </w:rPr>
                        <w:t xml:space="preserve"> </w:t>
                      </w:r>
                      <w:r w:rsidRPr="00366213">
                        <w:t>least</w:t>
                      </w:r>
                      <w:r w:rsidRPr="00366213">
                        <w:rPr>
                          <w:spacing w:val="-6"/>
                        </w:rPr>
                        <w:t xml:space="preserve"> </w:t>
                      </w:r>
                      <w:r w:rsidRPr="00366213">
                        <w:t>possible</w:t>
                      </w:r>
                      <w:r w:rsidRPr="00366213">
                        <w:rPr>
                          <w:spacing w:val="-6"/>
                        </w:rPr>
                        <w:t xml:space="preserve"> </w:t>
                      </w:r>
                      <w:r w:rsidRPr="00366213">
                        <w:t>interference to</w:t>
                      </w:r>
                      <w:r w:rsidRPr="00366213">
                        <w:rPr>
                          <w:spacing w:val="-9"/>
                        </w:rPr>
                        <w:t xml:space="preserve"> </w:t>
                      </w:r>
                      <w:r w:rsidRPr="00366213">
                        <w:t>the</w:t>
                      </w:r>
                      <w:r w:rsidRPr="00366213">
                        <w:rPr>
                          <w:spacing w:val="-9"/>
                        </w:rPr>
                        <w:t xml:space="preserve"> </w:t>
                      </w:r>
                      <w:r w:rsidRPr="00366213">
                        <w:t>person(s)</w:t>
                      </w:r>
                      <w:r w:rsidRPr="00366213">
                        <w:rPr>
                          <w:spacing w:val="-10"/>
                        </w:rPr>
                        <w:t xml:space="preserve"> </w:t>
                      </w:r>
                      <w:r w:rsidRPr="00366213">
                        <w:t>sought</w:t>
                      </w:r>
                      <w:r w:rsidRPr="00366213">
                        <w:rPr>
                          <w:spacing w:val="-10"/>
                        </w:rPr>
                        <w:t xml:space="preserve"> </w:t>
                      </w:r>
                      <w:r w:rsidRPr="00366213">
                        <w:t>and</w:t>
                      </w:r>
                      <w:r w:rsidRPr="00366213">
                        <w:rPr>
                          <w:spacing w:val="-13"/>
                        </w:rPr>
                        <w:t xml:space="preserve"> </w:t>
                      </w:r>
                      <w:r w:rsidRPr="00366213">
                        <w:t>others.</w:t>
                      </w:r>
                      <w:r w:rsidRPr="00366213">
                        <w:rPr>
                          <w:spacing w:val="-12"/>
                        </w:rPr>
                        <w:t xml:space="preserve"> </w:t>
                      </w:r>
                      <w:r w:rsidRPr="00366213">
                        <w:t>This</w:t>
                      </w:r>
                      <w:r w:rsidRPr="00366213">
                        <w:rPr>
                          <w:spacing w:val="-10"/>
                        </w:rPr>
                        <w:t xml:space="preserve"> </w:t>
                      </w:r>
                      <w:r w:rsidRPr="00366213">
                        <w:t>should</w:t>
                      </w:r>
                      <w:r w:rsidRPr="00366213">
                        <w:rPr>
                          <w:spacing w:val="-11"/>
                        </w:rPr>
                        <w:t xml:space="preserve"> </w:t>
                      </w:r>
                      <w:r w:rsidRPr="00366213">
                        <w:t>include</w:t>
                      </w:r>
                      <w:r w:rsidRPr="00366213">
                        <w:rPr>
                          <w:spacing w:val="-12"/>
                        </w:rPr>
                        <w:t xml:space="preserve"> </w:t>
                      </w:r>
                      <w:r w:rsidRPr="00366213">
                        <w:t>explicit</w:t>
                      </w:r>
                      <w:r w:rsidRPr="00366213">
                        <w:rPr>
                          <w:spacing w:val="-9"/>
                        </w:rPr>
                        <w:t xml:space="preserve"> </w:t>
                      </w:r>
                      <w:r w:rsidRPr="00366213">
                        <w:t>reference</w:t>
                      </w:r>
                      <w:r w:rsidRPr="00366213">
                        <w:rPr>
                          <w:spacing w:val="-9"/>
                        </w:rPr>
                        <w:t xml:space="preserve"> </w:t>
                      </w:r>
                      <w:r w:rsidRPr="00366213">
                        <w:t>to</w:t>
                      </w:r>
                      <w:r w:rsidRPr="00366213">
                        <w:rPr>
                          <w:spacing w:val="-9"/>
                        </w:rPr>
                        <w:t xml:space="preserve"> </w:t>
                      </w:r>
                      <w:r w:rsidRPr="00366213">
                        <w:t>any</w:t>
                      </w:r>
                      <w:r w:rsidRPr="00366213">
                        <w:rPr>
                          <w:spacing w:val="-9"/>
                        </w:rPr>
                        <w:t xml:space="preserve"> </w:t>
                      </w:r>
                      <w:proofErr w:type="gramStart"/>
                      <w:r w:rsidRPr="00366213">
                        <w:t>particular privacy</w:t>
                      </w:r>
                      <w:proofErr w:type="gramEnd"/>
                      <w:r w:rsidRPr="00366213">
                        <w:rPr>
                          <w:spacing w:val="-12"/>
                        </w:rPr>
                        <w:t xml:space="preserve"> </w:t>
                      </w:r>
                      <w:r w:rsidRPr="00366213">
                        <w:t>considerations</w:t>
                      </w:r>
                      <w:r w:rsidRPr="00366213">
                        <w:rPr>
                          <w:spacing w:val="-12"/>
                        </w:rPr>
                        <w:t xml:space="preserve"> </w:t>
                      </w:r>
                      <w:r w:rsidRPr="00366213">
                        <w:t>that</w:t>
                      </w:r>
                      <w:r w:rsidRPr="00366213">
                        <w:rPr>
                          <w:spacing w:val="-12"/>
                        </w:rPr>
                        <w:t xml:space="preserve"> </w:t>
                      </w:r>
                      <w:r w:rsidRPr="00366213">
                        <w:t>may</w:t>
                      </w:r>
                      <w:r w:rsidRPr="00366213">
                        <w:rPr>
                          <w:spacing w:val="-9"/>
                        </w:rPr>
                        <w:t xml:space="preserve"> </w:t>
                      </w:r>
                      <w:r w:rsidRPr="00366213">
                        <w:t>be</w:t>
                      </w:r>
                      <w:r w:rsidRPr="00366213">
                        <w:rPr>
                          <w:spacing w:val="-9"/>
                        </w:rPr>
                        <w:t xml:space="preserve"> </w:t>
                      </w:r>
                      <w:r w:rsidRPr="00366213">
                        <w:t>relevant</w:t>
                      </w:r>
                      <w:r w:rsidRPr="00366213">
                        <w:rPr>
                          <w:spacing w:val="-12"/>
                        </w:rPr>
                        <w:t xml:space="preserve"> </w:t>
                      </w:r>
                      <w:r w:rsidRPr="00366213">
                        <w:t>to</w:t>
                      </w:r>
                      <w:r w:rsidRPr="00366213">
                        <w:rPr>
                          <w:spacing w:val="-9"/>
                        </w:rPr>
                        <w:t xml:space="preserve"> </w:t>
                      </w:r>
                      <w:r w:rsidRPr="00366213">
                        <w:t>a</w:t>
                      </w:r>
                      <w:r w:rsidRPr="00366213">
                        <w:rPr>
                          <w:spacing w:val="-10"/>
                        </w:rPr>
                        <w:t xml:space="preserve"> </w:t>
                      </w:r>
                      <w:r w:rsidRPr="00366213">
                        <w:t>Deployment</w:t>
                      </w:r>
                      <w:r w:rsidRPr="00366213">
                        <w:rPr>
                          <w:spacing w:val="-9"/>
                        </w:rPr>
                        <w:t xml:space="preserve"> </w:t>
                      </w:r>
                      <w:r w:rsidRPr="00366213">
                        <w:t>location</w:t>
                      </w:r>
                      <w:r w:rsidRPr="00366213">
                        <w:rPr>
                          <w:spacing w:val="-11"/>
                        </w:rPr>
                        <w:t xml:space="preserve"> </w:t>
                      </w:r>
                      <w:r w:rsidRPr="00366213">
                        <w:t>and</w:t>
                      </w:r>
                      <w:r w:rsidRPr="00366213">
                        <w:rPr>
                          <w:spacing w:val="-11"/>
                        </w:rPr>
                        <w:t xml:space="preserve"> </w:t>
                      </w:r>
                      <w:r w:rsidRPr="00366213">
                        <w:t>any</w:t>
                      </w:r>
                      <w:r w:rsidRPr="00366213">
                        <w:rPr>
                          <w:spacing w:val="-12"/>
                        </w:rPr>
                        <w:t xml:space="preserve"> </w:t>
                      </w:r>
                      <w:r w:rsidRPr="00366213">
                        <w:t>mitigations in place to impact the impact of the LFR Deployment. Authorising Officers should then continue to review Deployments of LFR to ensure the use case remains appropriate.</w:t>
                      </w:r>
                    </w:p>
                  </w:txbxContent>
                </v:textbox>
                <w10:wrap type="topAndBottom" anchorx="margin"/>
              </v:shape>
            </w:pict>
          </mc:Fallback>
        </mc:AlternateContent>
      </w:r>
    </w:p>
    <w:p w14:paraId="117FE56F" w14:textId="77777777" w:rsidR="00FB1D64" w:rsidRPr="00FB1D64" w:rsidRDefault="00FB1D64" w:rsidP="003C4B73">
      <w:pPr>
        <w:pStyle w:val="ListParagraph"/>
        <w:numPr>
          <w:ilvl w:val="1"/>
          <w:numId w:val="1"/>
        </w:numPr>
      </w:pPr>
      <w:r>
        <w:rPr>
          <w:b/>
          <w:bCs/>
        </w:rPr>
        <w:lastRenderedPageBreak/>
        <w:t>Wider Human Rights Act Considerations</w:t>
      </w:r>
    </w:p>
    <w:p w14:paraId="1C85A5F4" w14:textId="54BB4857" w:rsidR="00AC2CBE" w:rsidRDefault="003C4B73" w:rsidP="00FB1D64">
      <w:pPr>
        <w:pStyle w:val="ListParagraph"/>
      </w:pPr>
      <w:r w:rsidRPr="003C4B73">
        <w:t xml:space="preserve"> </w:t>
      </w:r>
      <w:r w:rsidR="00FB1D64" w:rsidRPr="00FB1D64">
        <w:t>The right to privacy protects individual autonomy and human dignity by enabling people to conduct their lives as they choose. In certain circumstances, other rights under the Human Rights Act 1998 may also be engaged, including:</w:t>
      </w:r>
    </w:p>
    <w:p w14:paraId="5130E624" w14:textId="77777777" w:rsidR="00FB1D64" w:rsidRDefault="00FB1D64" w:rsidP="00FB1D64">
      <w:pPr>
        <w:pStyle w:val="ListParagraph"/>
      </w:pPr>
    </w:p>
    <w:p w14:paraId="1BD4E6EA" w14:textId="7BEF6297" w:rsidR="00FB1D64" w:rsidRDefault="00F03C35" w:rsidP="00FB1D64">
      <w:pPr>
        <w:pStyle w:val="ListParagraph"/>
        <w:numPr>
          <w:ilvl w:val="0"/>
          <w:numId w:val="25"/>
        </w:numPr>
      </w:pPr>
      <w:r>
        <w:t>Article 9 – Freedom of Thought, Conscience and Religion</w:t>
      </w:r>
    </w:p>
    <w:p w14:paraId="68E403D1" w14:textId="198AD4FE" w:rsidR="00F03C35" w:rsidRDefault="00F03C35" w:rsidP="00F03C35">
      <w:pPr>
        <w:pStyle w:val="ListParagraph"/>
        <w:ind w:left="1080"/>
      </w:pPr>
      <w:r>
        <w:t>Clothing can represent an act of thought, conscience, or religion. In normal circumstances, the police do not have the legal power to require a person to remove clothing (including any headdress) simply because they are passing an LFR system. Additionally, the location of an LFR deployment may engage Article 9 where it affects religious or cultural practices.</w:t>
      </w:r>
    </w:p>
    <w:p w14:paraId="5FC6B82F" w14:textId="77777777" w:rsidR="00C25D4B" w:rsidRDefault="00C25D4B" w:rsidP="00F03C35">
      <w:pPr>
        <w:pStyle w:val="ListParagraph"/>
        <w:ind w:left="1080"/>
      </w:pPr>
    </w:p>
    <w:p w14:paraId="39257B66" w14:textId="7ED3271D" w:rsidR="00F03C35" w:rsidRDefault="00600DFC" w:rsidP="00F03C35">
      <w:pPr>
        <w:pStyle w:val="ListParagraph"/>
        <w:numPr>
          <w:ilvl w:val="0"/>
          <w:numId w:val="25"/>
        </w:numPr>
      </w:pPr>
      <w:r w:rsidRPr="00600DFC">
        <w:t>Articles 10 and 11 – Freedom of Expression and Assembly</w:t>
      </w:r>
    </w:p>
    <w:p w14:paraId="5F2C1A32" w14:textId="3F8F2D96" w:rsidR="00600DFC" w:rsidRDefault="00600DFC" w:rsidP="00600DFC">
      <w:pPr>
        <w:pStyle w:val="ListParagraph"/>
        <w:ind w:left="1080"/>
      </w:pPr>
      <w:r>
        <w:t>Articles 10 and 11 are particularly relevant when policing assemblies or demonstrations.</w:t>
      </w:r>
    </w:p>
    <w:p w14:paraId="39F5D65E" w14:textId="77777777" w:rsidR="00600DFC" w:rsidRDefault="00600DFC" w:rsidP="00600DFC">
      <w:pPr>
        <w:pStyle w:val="ListParagraph"/>
        <w:numPr>
          <w:ilvl w:val="0"/>
          <w:numId w:val="26"/>
        </w:numPr>
      </w:pPr>
      <w:r>
        <w:t>Article 10 may be engaged if individuals feel deterred from expressing themselves due to an LFR deployment.</w:t>
      </w:r>
    </w:p>
    <w:p w14:paraId="15962A57" w14:textId="64FEB58C" w:rsidR="00600DFC" w:rsidRDefault="00600DFC" w:rsidP="00600DFC">
      <w:pPr>
        <w:pStyle w:val="ListParagraph"/>
        <w:numPr>
          <w:ilvl w:val="0"/>
          <w:numId w:val="26"/>
        </w:numPr>
      </w:pPr>
      <w:r>
        <w:t>Article 11 may be engaged if LFR discourages attendance at assemblies or demonstrations or limits participation.</w:t>
      </w:r>
    </w:p>
    <w:p w14:paraId="4EDB22F4" w14:textId="77777777" w:rsidR="00C25D4B" w:rsidRDefault="00C25D4B" w:rsidP="00C25D4B">
      <w:pPr>
        <w:pStyle w:val="ListParagraph"/>
        <w:ind w:left="1800"/>
      </w:pPr>
    </w:p>
    <w:p w14:paraId="555DECD2" w14:textId="6607A18B" w:rsidR="00600DFC" w:rsidRDefault="00C25D4B" w:rsidP="00C25D4B">
      <w:pPr>
        <w:pStyle w:val="ListParagraph"/>
        <w:numPr>
          <w:ilvl w:val="0"/>
          <w:numId w:val="25"/>
        </w:numPr>
      </w:pPr>
      <w:r>
        <w:t>Operational Duties – Osman Duty</w:t>
      </w:r>
    </w:p>
    <w:p w14:paraId="36E9417D" w14:textId="2BA26563" w:rsidR="00C25D4B" w:rsidRDefault="00C25D4B" w:rsidP="00C25D4B">
      <w:pPr>
        <w:pStyle w:val="ListParagraph"/>
        <w:ind w:left="1080"/>
      </w:pPr>
      <w:r>
        <w:t xml:space="preserve">The “operational duty” was first outlined in Osman v United Kingdom, where the European Court of Human Rights held that police have a positive duty to take reasonable measures to avert a real and immediate risk to life of which they are, or ought to be, </w:t>
      </w:r>
      <w:r w:rsidR="0001372B">
        <w:t>aware. ¹</w:t>
      </w:r>
    </w:p>
    <w:p w14:paraId="2D823566" w14:textId="77777777" w:rsidR="00C25D4B" w:rsidRDefault="00C25D4B" w:rsidP="00C25D4B">
      <w:pPr>
        <w:pStyle w:val="ListParagraph"/>
        <w:ind w:left="1080"/>
      </w:pPr>
      <w:r>
        <w:t>This duty is relevant to LFR in two contexts:</w:t>
      </w:r>
    </w:p>
    <w:p w14:paraId="0574A089" w14:textId="77777777" w:rsidR="00C25D4B" w:rsidRDefault="00C25D4B" w:rsidP="00C25D4B">
      <w:pPr>
        <w:pStyle w:val="ListParagraph"/>
        <w:numPr>
          <w:ilvl w:val="0"/>
          <w:numId w:val="27"/>
        </w:numPr>
      </w:pPr>
      <w:r>
        <w:t>Deploying LFR to locate individuals posing a threat to the public or themselves where a real and immediate risk to life exists.</w:t>
      </w:r>
    </w:p>
    <w:p w14:paraId="663F5F70" w14:textId="77777777" w:rsidR="00C25D4B" w:rsidRDefault="00C25D4B" w:rsidP="0001372B">
      <w:pPr>
        <w:pStyle w:val="ListParagraph"/>
        <w:numPr>
          <w:ilvl w:val="0"/>
          <w:numId w:val="27"/>
        </w:numPr>
      </w:pPr>
      <w:r>
        <w:t>Responding to an LFR alert where measures must be in place to prevent evasion by a person who poses such a risk.</w:t>
      </w:r>
    </w:p>
    <w:p w14:paraId="582318F1" w14:textId="5258DE37" w:rsidR="00C25D4B" w:rsidRDefault="00C25D4B" w:rsidP="00C25D4B">
      <w:pPr>
        <w:pStyle w:val="ListParagraph"/>
        <w:ind w:left="1080"/>
      </w:pPr>
      <w:r>
        <w:t>Case law also supports that police must investigate serious allegations promptly to uphold Article 3 rights.</w:t>
      </w:r>
    </w:p>
    <w:p w14:paraId="601BBFDB" w14:textId="77777777" w:rsidR="00482015" w:rsidRDefault="00482015" w:rsidP="00C25D4B">
      <w:pPr>
        <w:pStyle w:val="ListParagraph"/>
        <w:ind w:left="1080"/>
      </w:pPr>
    </w:p>
    <w:p w14:paraId="356B2A85" w14:textId="77777777" w:rsidR="00482015" w:rsidRDefault="00482015" w:rsidP="00C25D4B">
      <w:pPr>
        <w:pStyle w:val="ListParagraph"/>
        <w:ind w:left="1080"/>
      </w:pPr>
    </w:p>
    <w:p w14:paraId="37DA3D53" w14:textId="4C6C34E1" w:rsidR="00482015" w:rsidRDefault="00482015" w:rsidP="00C25D4B">
      <w:pPr>
        <w:pStyle w:val="ListParagraph"/>
        <w:ind w:left="1080"/>
      </w:pPr>
    </w:p>
    <w:p w14:paraId="42480CD8" w14:textId="084DF452" w:rsidR="00482015" w:rsidRDefault="00482015" w:rsidP="00482015">
      <w:pPr>
        <w:rPr>
          <w:sz w:val="20"/>
          <w:szCs w:val="20"/>
        </w:rPr>
      </w:pPr>
    </w:p>
    <w:p w14:paraId="5FB97294" w14:textId="6E358CA7" w:rsidR="00482015" w:rsidRDefault="00482015" w:rsidP="00482015">
      <w:pPr>
        <w:rPr>
          <w:sz w:val="20"/>
          <w:szCs w:val="20"/>
        </w:rPr>
      </w:pPr>
      <w:r w:rsidRPr="00366213">
        <w:rPr>
          <w:rFonts w:ascii="Arial" w:hAnsi="Arial" w:cs="Arial"/>
          <w:noProof/>
          <w:sz w:val="20"/>
          <w:highlight w:val="yellow"/>
        </w:rPr>
        <mc:AlternateContent>
          <mc:Choice Requires="wps">
            <w:drawing>
              <wp:anchor distT="0" distB="0" distL="0" distR="0" simplePos="0" relativeHeight="251661824" behindDoc="1" locked="0" layoutInCell="1" allowOverlap="1" wp14:anchorId="55856A1B" wp14:editId="1761D89C">
                <wp:simplePos x="0" y="0"/>
                <wp:positionH relativeFrom="margin">
                  <wp:align>left</wp:align>
                </wp:positionH>
                <wp:positionV relativeFrom="paragraph">
                  <wp:posOffset>201428</wp:posOffset>
                </wp:positionV>
                <wp:extent cx="1828800" cy="9525"/>
                <wp:effectExtent l="0" t="0" r="0" b="0"/>
                <wp:wrapTopAndBottom/>
                <wp:docPr id="124183099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013C61" id="Graphic 6" o:spid="_x0000_s1026" style="position:absolute;margin-left:0;margin-top:15.85pt;width:2in;height:.75pt;z-index:-251654656;visibility:visible;mso-wrap-style:square;mso-wrap-distance-left:0;mso-wrap-distance-top:0;mso-wrap-distance-right:0;mso-wrap-distance-bottom:0;mso-position-horizontal:left;mso-position-horizontal-relative:margin;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" path="m1828800,l,,,9144r1828800,l1828800,xe" fillcolor="black" stroked="f">
                <v:path arrowok="t"/>
                <w10:wrap type="topAndBottom" anchorx="margin"/>
              </v:shape>
            </w:pict>
          </mc:Fallback>
        </mc:AlternateContent>
      </w:r>
    </w:p>
    <w:p w14:paraId="366B9241" w14:textId="686D7726" w:rsidR="00482015" w:rsidRPr="00482015" w:rsidRDefault="00482015" w:rsidP="00482015">
      <w:pPr>
        <w:rPr>
          <w:sz w:val="20"/>
          <w:szCs w:val="20"/>
        </w:rPr>
      </w:pPr>
      <w:r w:rsidRPr="00482015">
        <w:rPr>
          <w:sz w:val="20"/>
          <w:szCs w:val="20"/>
        </w:rPr>
        <w:t xml:space="preserve">¹ </w:t>
      </w:r>
      <w:r w:rsidRPr="00482015">
        <w:rPr>
          <w:i/>
          <w:iCs/>
          <w:sz w:val="20"/>
          <w:szCs w:val="20"/>
        </w:rPr>
        <w:t>Osman v United Kingdom</w:t>
      </w:r>
      <w:r w:rsidRPr="00482015">
        <w:rPr>
          <w:sz w:val="20"/>
          <w:szCs w:val="20"/>
        </w:rPr>
        <w:t xml:space="preserve"> [1998] ECHR 101 (positive duty to protect life).</w:t>
      </w:r>
      <w:r w:rsidRPr="00482015">
        <w:rPr>
          <w:sz w:val="20"/>
          <w:szCs w:val="20"/>
        </w:rPr>
        <w:br/>
        <w:t xml:space="preserve">² </w:t>
      </w:r>
      <w:r w:rsidRPr="00482015">
        <w:rPr>
          <w:i/>
          <w:iCs/>
          <w:sz w:val="20"/>
          <w:szCs w:val="20"/>
        </w:rPr>
        <w:t>R (Bridges) v Chief Constable of South Wales Police</w:t>
      </w:r>
      <w:r w:rsidRPr="00482015">
        <w:rPr>
          <w:sz w:val="20"/>
          <w:szCs w:val="20"/>
        </w:rPr>
        <w:t xml:space="preserve"> [2020] EWCA Civ 1058 (proportionality and safeguards under Article 8).</w:t>
      </w:r>
    </w:p>
    <w:p w14:paraId="55197EF1" w14:textId="77777777" w:rsidR="0001372B" w:rsidRDefault="0001372B" w:rsidP="00C25D4B">
      <w:pPr>
        <w:pStyle w:val="ListParagraph"/>
        <w:ind w:left="1080"/>
      </w:pPr>
    </w:p>
    <w:p w14:paraId="6776A188" w14:textId="01646C97" w:rsidR="0001372B" w:rsidRDefault="0001372B" w:rsidP="0001372B">
      <w:pPr>
        <w:pStyle w:val="ListParagraph"/>
        <w:numPr>
          <w:ilvl w:val="0"/>
          <w:numId w:val="25"/>
        </w:numPr>
      </w:pPr>
      <w:r>
        <w:t>Article 14 – Prohibition of Discrimination</w:t>
      </w:r>
    </w:p>
    <w:p w14:paraId="02E4D7A0" w14:textId="77777777" w:rsidR="00D04060" w:rsidRDefault="00D04060" w:rsidP="00D04060">
      <w:pPr>
        <w:pStyle w:val="ListParagraph"/>
        <w:ind w:left="1080"/>
      </w:pPr>
      <w:r>
        <w:t>Article 14 requires that all rights and freedoms under the Human Rights Act 1998 are applied without discrimination. It is not a standalone right; discrimination must affect the enjoyment of another right.</w:t>
      </w:r>
    </w:p>
    <w:p w14:paraId="2030CF0C" w14:textId="77777777" w:rsidR="00D04060" w:rsidRDefault="00D04060" w:rsidP="00D04060">
      <w:pPr>
        <w:pStyle w:val="ListParagraph"/>
        <w:ind w:left="1080"/>
      </w:pPr>
      <w:r>
        <w:t>LFR may engage Article 14 if algorithmic performance varies significantly by demographic, resulting in a discriminatory effect. Two considerations apply:</w:t>
      </w:r>
    </w:p>
    <w:p w14:paraId="0B83C280" w14:textId="77777777" w:rsidR="00D04060" w:rsidRDefault="00D04060" w:rsidP="00D04060">
      <w:pPr>
        <w:pStyle w:val="ListParagraph"/>
        <w:ind w:left="1080"/>
      </w:pPr>
    </w:p>
    <w:p w14:paraId="58C96963" w14:textId="77777777" w:rsidR="00D04060" w:rsidRDefault="00D04060" w:rsidP="00D04060">
      <w:pPr>
        <w:pStyle w:val="ListParagraph"/>
        <w:numPr>
          <w:ilvl w:val="0"/>
          <w:numId w:val="28"/>
        </w:numPr>
      </w:pPr>
      <w:r>
        <w:t>Does the LFR system’s demographic performance vary to the extent that it causes discriminatory impact?</w:t>
      </w:r>
    </w:p>
    <w:p w14:paraId="06A82B49" w14:textId="41DCE058" w:rsidR="0001372B" w:rsidRPr="00C25D4B" w:rsidRDefault="00D04060" w:rsidP="00D04060">
      <w:pPr>
        <w:pStyle w:val="ListParagraph"/>
        <w:numPr>
          <w:ilvl w:val="0"/>
          <w:numId w:val="28"/>
        </w:numPr>
      </w:pPr>
      <w:r>
        <w:t>If differential treatment exists, is it objectively and reasonably justified?</w:t>
      </w:r>
    </w:p>
    <w:p w14:paraId="497BDA1D" w14:textId="191BF27E" w:rsidR="00600DFC" w:rsidRPr="003C4B73" w:rsidRDefault="00855400" w:rsidP="00600DFC">
      <w:r>
        <w:rPr>
          <w:noProof/>
        </w:rPr>
        <mc:AlternateContent>
          <mc:Choice Requires="wps">
            <w:drawing>
              <wp:anchor distT="0" distB="0" distL="114300" distR="114300" simplePos="0" relativeHeight="251662848" behindDoc="0" locked="0" layoutInCell="1" allowOverlap="1" wp14:anchorId="09AB6F1A" wp14:editId="618383FA">
                <wp:simplePos x="0" y="0"/>
                <wp:positionH relativeFrom="margin">
                  <wp:align>left</wp:align>
                </wp:positionH>
                <wp:positionV relativeFrom="paragraph">
                  <wp:posOffset>88501</wp:posOffset>
                </wp:positionV>
                <wp:extent cx="5401310" cy="3253562"/>
                <wp:effectExtent l="0" t="0" r="27940" b="23495"/>
                <wp:wrapNone/>
                <wp:docPr id="39439285" name="Text Box 1"/>
                <wp:cNvGraphicFramePr/>
                <a:graphic xmlns:a="http://schemas.openxmlformats.org/drawingml/2006/main">
                  <a:graphicData uri="http://schemas.microsoft.com/office/word/2010/wordprocessingShape">
                    <wps:wsp>
                      <wps:cNvSpPr txBox="1"/>
                      <wps:spPr>
                        <a:xfrm>
                          <a:off x="0" y="0"/>
                          <a:ext cx="5401310" cy="3253562"/>
                        </a:xfrm>
                        <a:prstGeom prst="rect">
                          <a:avLst/>
                        </a:prstGeom>
                        <a:solidFill>
                          <a:schemeClr val="lt1"/>
                        </a:solidFill>
                        <a:ln w="6350">
                          <a:solidFill>
                            <a:prstClr val="black"/>
                          </a:solidFill>
                        </a:ln>
                      </wps:spPr>
                      <wps:txbx>
                        <w:txbxContent>
                          <w:p w14:paraId="4ECA2129" w14:textId="77777777" w:rsidR="00855400" w:rsidRPr="00855400" w:rsidRDefault="00DE0F22" w:rsidP="00855400">
                            <w:pPr>
                              <w:rPr>
                                <w:sz w:val="22"/>
                                <w:szCs w:val="22"/>
                              </w:rPr>
                            </w:pPr>
                            <w:r>
                              <w:rPr>
                                <w:b/>
                                <w:bCs/>
                                <w:sz w:val="22"/>
                                <w:szCs w:val="22"/>
                              </w:rPr>
                              <w:t xml:space="preserve">Example: </w:t>
                            </w:r>
                            <w:r w:rsidR="00855400" w:rsidRPr="00855400">
                              <w:rPr>
                                <w:sz w:val="22"/>
                                <w:szCs w:val="22"/>
                              </w:rPr>
                              <w:t>LFR can assist Hertfordshire Constabulary in ensuring public safety, including at places of worship where intelligence identifies a threat to the public. However, deploying LFR outside a place of worship or in a way that substantially impedes access may engage Article 9 – Freedom of Thought, Conscience and Religion.</w:t>
                            </w:r>
                          </w:p>
                          <w:p w14:paraId="3B671117" w14:textId="77777777" w:rsidR="00855400" w:rsidRPr="00855400" w:rsidRDefault="00855400" w:rsidP="00855400">
                            <w:pPr>
                              <w:rPr>
                                <w:sz w:val="22"/>
                                <w:szCs w:val="22"/>
                              </w:rPr>
                            </w:pPr>
                            <w:r w:rsidRPr="00855400">
                              <w:rPr>
                                <w:sz w:val="22"/>
                                <w:szCs w:val="22"/>
                              </w:rPr>
                              <w:t>In such cases, public safety considerations must be balanced against the impact on Article 9 rights. If policing objectives can be achieved by deploying LFR elsewhere, it would not be necessary to use LFR at the proposed location. Where deployment near a place of worship is unavoidable, Authorising Officers must assess whether the interference with Article 9 rights is proportionate to the likely benefits of using LFR.</w:t>
                            </w:r>
                          </w:p>
                          <w:p w14:paraId="4331E253" w14:textId="789CD547" w:rsidR="00855400" w:rsidRPr="00855400" w:rsidRDefault="00855400" w:rsidP="00855400">
                            <w:pPr>
                              <w:rPr>
                                <w:sz w:val="22"/>
                                <w:szCs w:val="22"/>
                              </w:rPr>
                            </w:pPr>
                            <w:r w:rsidRPr="00855400">
                              <w:rPr>
                                <w:sz w:val="22"/>
                                <w:szCs w:val="22"/>
                              </w:rPr>
                              <w:t>Key considerations include:</w:t>
                            </w:r>
                          </w:p>
                          <w:p w14:paraId="6BC45035" w14:textId="77777777" w:rsidR="00855400" w:rsidRPr="00855400" w:rsidRDefault="00855400" w:rsidP="00855400">
                            <w:pPr>
                              <w:pStyle w:val="ListParagraph"/>
                              <w:numPr>
                                <w:ilvl w:val="0"/>
                                <w:numId w:val="29"/>
                              </w:numPr>
                              <w:rPr>
                                <w:sz w:val="22"/>
                                <w:szCs w:val="22"/>
                              </w:rPr>
                            </w:pPr>
                            <w:r w:rsidRPr="00855400">
                              <w:rPr>
                                <w:sz w:val="22"/>
                                <w:szCs w:val="22"/>
                              </w:rPr>
                              <w:t>The impact on individuals seeking to access the place of worship;</w:t>
                            </w:r>
                          </w:p>
                          <w:p w14:paraId="6545FB16" w14:textId="77777777" w:rsidR="00855400" w:rsidRPr="00855400" w:rsidRDefault="00855400" w:rsidP="00855400">
                            <w:pPr>
                              <w:pStyle w:val="ListParagraph"/>
                              <w:numPr>
                                <w:ilvl w:val="0"/>
                                <w:numId w:val="29"/>
                              </w:numPr>
                              <w:rPr>
                                <w:sz w:val="22"/>
                                <w:szCs w:val="22"/>
                              </w:rPr>
                            </w:pPr>
                            <w:r w:rsidRPr="00855400">
                              <w:rPr>
                                <w:sz w:val="22"/>
                                <w:szCs w:val="22"/>
                              </w:rPr>
                              <w:t>The likely impact on those individuals if LFR is not used (e.g., alternative policing measures or site closures);</w:t>
                            </w:r>
                          </w:p>
                          <w:p w14:paraId="50D39E2B" w14:textId="48BE6251" w:rsidR="00DE0F22" w:rsidRPr="00855400" w:rsidRDefault="00855400" w:rsidP="00855400">
                            <w:pPr>
                              <w:pStyle w:val="ListParagraph"/>
                              <w:numPr>
                                <w:ilvl w:val="0"/>
                                <w:numId w:val="29"/>
                              </w:numPr>
                              <w:rPr>
                                <w:sz w:val="22"/>
                                <w:szCs w:val="22"/>
                              </w:rPr>
                            </w:pPr>
                            <w:r w:rsidRPr="00855400">
                              <w:rPr>
                                <w:sz w:val="22"/>
                                <w:szCs w:val="22"/>
                              </w:rPr>
                              <w:t>The public safety benefits provided by LFR.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B6F1A" id="_x0000_s1037" type="#_x0000_t202" style="position:absolute;margin-left:0;margin-top:6.95pt;width:425.3pt;height:256.2pt;z-index:2516628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" fillcolor="white [3201]" strokeweight=".5pt">
                <v:textbox>
                  <w:txbxContent>
                    <w:p w14:paraId="4ECA2129" w14:textId="77777777" w:rsidR="00855400" w:rsidRPr="00855400" w:rsidRDefault="00DE0F22" w:rsidP="00855400">
                      <w:pPr>
                        <w:rPr>
                          <w:sz w:val="22"/>
                          <w:szCs w:val="22"/>
                        </w:rPr>
                      </w:pPr>
                      <w:r>
                        <w:rPr>
                          <w:b/>
                          <w:bCs/>
                          <w:sz w:val="22"/>
                          <w:szCs w:val="22"/>
                        </w:rPr>
                        <w:t xml:space="preserve">Example: </w:t>
                      </w:r>
                      <w:r w:rsidR="00855400" w:rsidRPr="00855400">
                        <w:rPr>
                          <w:sz w:val="22"/>
                          <w:szCs w:val="22"/>
                        </w:rPr>
                        <w:t>LFR can assist Hertfordshire Constabulary in ensuring public safety, including at places of worship where intelligence identifies a threat to the public. However, deploying LFR outside a place of worship or in a way that substantially impedes access may engage Article 9 – Freedom of Thought, Conscience and Religion.</w:t>
                      </w:r>
                    </w:p>
                    <w:p w14:paraId="3B671117" w14:textId="77777777" w:rsidR="00855400" w:rsidRPr="00855400" w:rsidRDefault="00855400" w:rsidP="00855400">
                      <w:pPr>
                        <w:rPr>
                          <w:sz w:val="22"/>
                          <w:szCs w:val="22"/>
                        </w:rPr>
                      </w:pPr>
                      <w:r w:rsidRPr="00855400">
                        <w:rPr>
                          <w:sz w:val="22"/>
                          <w:szCs w:val="22"/>
                        </w:rPr>
                        <w:t>In such cases, public safety considerations must be balanced against the impact on Article 9 rights. If policing objectives can be achieved by deploying LFR elsewhere, it would not be necessary to use LFR at the proposed location. Where deployment near a place of worship is unavoidable, Authorising Officers must assess whether the interference with Article 9 rights is proportionate to the likely benefits of using LFR.</w:t>
                      </w:r>
                    </w:p>
                    <w:p w14:paraId="4331E253" w14:textId="789CD547" w:rsidR="00855400" w:rsidRPr="00855400" w:rsidRDefault="00855400" w:rsidP="00855400">
                      <w:pPr>
                        <w:rPr>
                          <w:sz w:val="22"/>
                          <w:szCs w:val="22"/>
                        </w:rPr>
                      </w:pPr>
                      <w:r w:rsidRPr="00855400">
                        <w:rPr>
                          <w:sz w:val="22"/>
                          <w:szCs w:val="22"/>
                        </w:rPr>
                        <w:t>Key considerations include:</w:t>
                      </w:r>
                    </w:p>
                    <w:p w14:paraId="6BC45035" w14:textId="77777777" w:rsidR="00855400" w:rsidRPr="00855400" w:rsidRDefault="00855400" w:rsidP="00855400">
                      <w:pPr>
                        <w:pStyle w:val="ListParagraph"/>
                        <w:numPr>
                          <w:ilvl w:val="0"/>
                          <w:numId w:val="29"/>
                        </w:numPr>
                        <w:rPr>
                          <w:sz w:val="22"/>
                          <w:szCs w:val="22"/>
                        </w:rPr>
                      </w:pPr>
                      <w:r w:rsidRPr="00855400">
                        <w:rPr>
                          <w:sz w:val="22"/>
                          <w:szCs w:val="22"/>
                        </w:rPr>
                        <w:t xml:space="preserve">The impact on individuals seeking to access the place of </w:t>
                      </w:r>
                      <w:proofErr w:type="gramStart"/>
                      <w:r w:rsidRPr="00855400">
                        <w:rPr>
                          <w:sz w:val="22"/>
                          <w:szCs w:val="22"/>
                        </w:rPr>
                        <w:t>worship;</w:t>
                      </w:r>
                      <w:proofErr w:type="gramEnd"/>
                    </w:p>
                    <w:p w14:paraId="6545FB16" w14:textId="77777777" w:rsidR="00855400" w:rsidRPr="00855400" w:rsidRDefault="00855400" w:rsidP="00855400">
                      <w:pPr>
                        <w:pStyle w:val="ListParagraph"/>
                        <w:numPr>
                          <w:ilvl w:val="0"/>
                          <w:numId w:val="29"/>
                        </w:numPr>
                        <w:rPr>
                          <w:sz w:val="22"/>
                          <w:szCs w:val="22"/>
                        </w:rPr>
                      </w:pPr>
                      <w:r w:rsidRPr="00855400">
                        <w:rPr>
                          <w:sz w:val="22"/>
                          <w:szCs w:val="22"/>
                        </w:rPr>
                        <w:t>The likely impact on those individuals if LFR is not used (e.g., alternative policing measures or site closures</w:t>
                      </w:r>
                      <w:proofErr w:type="gramStart"/>
                      <w:r w:rsidRPr="00855400">
                        <w:rPr>
                          <w:sz w:val="22"/>
                          <w:szCs w:val="22"/>
                        </w:rPr>
                        <w:t>);</w:t>
                      </w:r>
                      <w:proofErr w:type="gramEnd"/>
                    </w:p>
                    <w:p w14:paraId="50D39E2B" w14:textId="48BE6251" w:rsidR="00DE0F22" w:rsidRPr="00855400" w:rsidRDefault="00855400" w:rsidP="00855400">
                      <w:pPr>
                        <w:pStyle w:val="ListParagraph"/>
                        <w:numPr>
                          <w:ilvl w:val="0"/>
                          <w:numId w:val="29"/>
                        </w:numPr>
                        <w:rPr>
                          <w:sz w:val="22"/>
                          <w:szCs w:val="22"/>
                        </w:rPr>
                      </w:pPr>
                      <w:r w:rsidRPr="00855400">
                        <w:rPr>
                          <w:sz w:val="22"/>
                          <w:szCs w:val="22"/>
                        </w:rPr>
                        <w:t>The public safety benefits provided by LFR.</w:t>
                      </w:r>
                    </w:p>
                  </w:txbxContent>
                </v:textbox>
                <w10:wrap anchorx="margin"/>
              </v:shape>
            </w:pict>
          </mc:Fallback>
        </mc:AlternateContent>
      </w:r>
    </w:p>
    <w:p w14:paraId="6C4CE814" w14:textId="77777777" w:rsidR="00235A4B" w:rsidRDefault="00235A4B" w:rsidP="003C4B73">
      <w:pPr>
        <w:pStyle w:val="ListParagraph"/>
        <w:rPr>
          <w:b/>
          <w:bCs/>
        </w:rPr>
      </w:pPr>
    </w:p>
    <w:p w14:paraId="358FAE11" w14:textId="77777777" w:rsidR="00235A4B" w:rsidRDefault="00235A4B" w:rsidP="003C4B73">
      <w:pPr>
        <w:pStyle w:val="ListParagraph"/>
        <w:rPr>
          <w:b/>
          <w:bCs/>
        </w:rPr>
      </w:pPr>
    </w:p>
    <w:p w14:paraId="2D4E28C5" w14:textId="77777777" w:rsidR="00235A4B" w:rsidRDefault="00235A4B" w:rsidP="003C4B73">
      <w:pPr>
        <w:pStyle w:val="ListParagraph"/>
        <w:rPr>
          <w:b/>
          <w:bCs/>
        </w:rPr>
      </w:pPr>
    </w:p>
    <w:p w14:paraId="61DF2E2F" w14:textId="77777777" w:rsidR="00235A4B" w:rsidRDefault="00235A4B" w:rsidP="003C4B73">
      <w:pPr>
        <w:pStyle w:val="ListParagraph"/>
        <w:rPr>
          <w:b/>
          <w:bCs/>
        </w:rPr>
      </w:pPr>
    </w:p>
    <w:p w14:paraId="56FF5752" w14:textId="77777777" w:rsidR="00235A4B" w:rsidRDefault="00235A4B" w:rsidP="003C4B73">
      <w:pPr>
        <w:pStyle w:val="ListParagraph"/>
        <w:rPr>
          <w:b/>
          <w:bCs/>
        </w:rPr>
      </w:pPr>
    </w:p>
    <w:p w14:paraId="6CA73032" w14:textId="77777777" w:rsidR="00235A4B" w:rsidRDefault="00235A4B" w:rsidP="003C4B73">
      <w:pPr>
        <w:pStyle w:val="ListParagraph"/>
        <w:rPr>
          <w:b/>
          <w:bCs/>
        </w:rPr>
      </w:pPr>
    </w:p>
    <w:p w14:paraId="08C78B8E" w14:textId="77777777" w:rsidR="00235A4B" w:rsidRDefault="00235A4B" w:rsidP="003C4B73">
      <w:pPr>
        <w:pStyle w:val="ListParagraph"/>
        <w:rPr>
          <w:b/>
          <w:bCs/>
        </w:rPr>
      </w:pPr>
    </w:p>
    <w:p w14:paraId="6AD541ED" w14:textId="77777777" w:rsidR="00235A4B" w:rsidRDefault="00235A4B" w:rsidP="003C4B73">
      <w:pPr>
        <w:pStyle w:val="ListParagraph"/>
        <w:rPr>
          <w:b/>
          <w:bCs/>
        </w:rPr>
      </w:pPr>
    </w:p>
    <w:p w14:paraId="7CA9E796" w14:textId="77777777" w:rsidR="00235A4B" w:rsidRDefault="00235A4B" w:rsidP="003C4B73">
      <w:pPr>
        <w:pStyle w:val="ListParagraph"/>
        <w:rPr>
          <w:b/>
          <w:bCs/>
        </w:rPr>
      </w:pPr>
    </w:p>
    <w:p w14:paraId="64FE50A6" w14:textId="77777777" w:rsidR="00235A4B" w:rsidRDefault="00235A4B" w:rsidP="003C4B73">
      <w:pPr>
        <w:pStyle w:val="ListParagraph"/>
        <w:rPr>
          <w:b/>
          <w:bCs/>
        </w:rPr>
      </w:pPr>
    </w:p>
    <w:p w14:paraId="4FF44A08" w14:textId="77777777" w:rsidR="00235A4B" w:rsidRDefault="00235A4B" w:rsidP="003C4B73">
      <w:pPr>
        <w:pStyle w:val="ListParagraph"/>
        <w:rPr>
          <w:b/>
          <w:bCs/>
        </w:rPr>
      </w:pPr>
    </w:p>
    <w:p w14:paraId="5F3C275F" w14:textId="77777777" w:rsidR="00235A4B" w:rsidRDefault="00235A4B" w:rsidP="003C4B73">
      <w:pPr>
        <w:pStyle w:val="ListParagraph"/>
        <w:rPr>
          <w:b/>
          <w:bCs/>
        </w:rPr>
      </w:pPr>
    </w:p>
    <w:p w14:paraId="4514DF02" w14:textId="77777777" w:rsidR="00235A4B" w:rsidRDefault="00235A4B" w:rsidP="003C4B73">
      <w:pPr>
        <w:pStyle w:val="ListParagraph"/>
        <w:rPr>
          <w:b/>
          <w:bCs/>
        </w:rPr>
      </w:pPr>
    </w:p>
    <w:p w14:paraId="6A6547E8" w14:textId="77777777" w:rsidR="00235A4B" w:rsidRDefault="00235A4B" w:rsidP="003C4B73">
      <w:pPr>
        <w:pStyle w:val="ListParagraph"/>
        <w:rPr>
          <w:b/>
          <w:bCs/>
        </w:rPr>
      </w:pPr>
    </w:p>
    <w:p w14:paraId="5599323C" w14:textId="73A1EF95" w:rsidR="00235A4B" w:rsidRDefault="00235A4B" w:rsidP="003C4B73">
      <w:pPr>
        <w:pStyle w:val="ListParagraph"/>
        <w:rPr>
          <w:b/>
          <w:bCs/>
        </w:rPr>
      </w:pPr>
      <w:r>
        <w:rPr>
          <w:noProof/>
        </w:rPr>
        <mc:AlternateContent>
          <mc:Choice Requires="wps">
            <w:drawing>
              <wp:anchor distT="0" distB="0" distL="114300" distR="114300" simplePos="0" relativeHeight="251663872" behindDoc="0" locked="0" layoutInCell="1" allowOverlap="1" wp14:anchorId="681652E5" wp14:editId="26710E9B">
                <wp:simplePos x="0" y="0"/>
                <wp:positionH relativeFrom="margin">
                  <wp:align>left</wp:align>
                </wp:positionH>
                <wp:positionV relativeFrom="paragraph">
                  <wp:posOffset>85060</wp:posOffset>
                </wp:positionV>
                <wp:extent cx="5401310" cy="3253105"/>
                <wp:effectExtent l="0" t="0" r="27940" b="23495"/>
                <wp:wrapNone/>
                <wp:docPr id="426402200" name="Text Box 1"/>
                <wp:cNvGraphicFramePr/>
                <a:graphic xmlns:a="http://schemas.openxmlformats.org/drawingml/2006/main">
                  <a:graphicData uri="http://schemas.microsoft.com/office/word/2010/wordprocessingShape">
                    <wps:wsp>
                      <wps:cNvSpPr txBox="1"/>
                      <wps:spPr>
                        <a:xfrm>
                          <a:off x="0" y="0"/>
                          <a:ext cx="5401310" cy="3253105"/>
                        </a:xfrm>
                        <a:prstGeom prst="rect">
                          <a:avLst/>
                        </a:prstGeom>
                        <a:solidFill>
                          <a:schemeClr val="lt1"/>
                        </a:solidFill>
                        <a:ln w="6350">
                          <a:solidFill>
                            <a:prstClr val="black"/>
                          </a:solidFill>
                        </a:ln>
                      </wps:spPr>
                      <wps:txbx>
                        <w:txbxContent>
                          <w:p w14:paraId="25634AA9" w14:textId="77777777" w:rsidR="00235A4B" w:rsidRPr="00235A4B" w:rsidRDefault="00717AD9" w:rsidP="00235A4B">
                            <w:pPr>
                              <w:rPr>
                                <w:sz w:val="22"/>
                                <w:szCs w:val="22"/>
                              </w:rPr>
                            </w:pPr>
                            <w:r>
                              <w:rPr>
                                <w:b/>
                                <w:bCs/>
                                <w:sz w:val="22"/>
                                <w:szCs w:val="22"/>
                              </w:rPr>
                              <w:t xml:space="preserve">Example: </w:t>
                            </w:r>
                            <w:r w:rsidR="00235A4B" w:rsidRPr="00235A4B">
                              <w:rPr>
                                <w:sz w:val="22"/>
                                <w:szCs w:val="22"/>
                              </w:rPr>
                              <w:t>LFR can assist Hertfordshire Constabulary in policing assemblies or demonstrations where intelligence indicates a risk to public safety. Specifically, LFR can help officers efficiently identify perpetrators of violence in crowded environments where locating them would otherwise be challenging.</w:t>
                            </w:r>
                          </w:p>
                          <w:p w14:paraId="6D3406B0" w14:textId="77777777" w:rsidR="00235A4B" w:rsidRPr="00235A4B" w:rsidRDefault="00235A4B" w:rsidP="00235A4B">
                            <w:pPr>
                              <w:rPr>
                                <w:sz w:val="22"/>
                                <w:szCs w:val="22"/>
                              </w:rPr>
                            </w:pPr>
                            <w:r w:rsidRPr="00235A4B">
                              <w:rPr>
                                <w:sz w:val="22"/>
                                <w:szCs w:val="22"/>
                              </w:rPr>
                              <w:t>When deciding whether LFR use is necessary and proportionate, regard must be had to Article 10 – Freedom of Expression and Article 11 – Freedom of Assembly and Association, noting that individuals may expect anonymity in a crowd and could alter their means of demonstration due to LFR deployment.</w:t>
                            </w:r>
                          </w:p>
                          <w:p w14:paraId="715CA772" w14:textId="1D7FC435" w:rsidR="00235A4B" w:rsidRPr="00235A4B" w:rsidRDefault="00235A4B" w:rsidP="00235A4B">
                            <w:pPr>
                              <w:rPr>
                                <w:sz w:val="22"/>
                                <w:szCs w:val="22"/>
                              </w:rPr>
                            </w:pPr>
                            <w:r w:rsidRPr="00235A4B">
                              <w:rPr>
                                <w:sz w:val="22"/>
                                <w:szCs w:val="22"/>
                              </w:rPr>
                              <w:t>Article 10 and 11 rights must be balanced against the need to use LFR to enable an assembly that might otherwise be disrupted by safety risks. Mitigation measures should be considered, including:</w:t>
                            </w:r>
                          </w:p>
                          <w:p w14:paraId="0A90B0BC" w14:textId="77777777" w:rsidR="00235A4B" w:rsidRPr="00235A4B" w:rsidRDefault="00235A4B" w:rsidP="00235A4B">
                            <w:pPr>
                              <w:pStyle w:val="ListParagraph"/>
                              <w:numPr>
                                <w:ilvl w:val="0"/>
                                <w:numId w:val="30"/>
                              </w:numPr>
                              <w:rPr>
                                <w:sz w:val="22"/>
                                <w:szCs w:val="22"/>
                              </w:rPr>
                            </w:pPr>
                            <w:r w:rsidRPr="00235A4B">
                              <w:rPr>
                                <w:sz w:val="22"/>
                                <w:szCs w:val="22"/>
                              </w:rPr>
                              <w:t>Limiting LFR use in time and scope to the minimum necessary for safety;</w:t>
                            </w:r>
                          </w:p>
                          <w:p w14:paraId="57987099" w14:textId="6BD8DA8F" w:rsidR="00717AD9" w:rsidRPr="00235A4B" w:rsidRDefault="00235A4B" w:rsidP="00235A4B">
                            <w:pPr>
                              <w:pStyle w:val="ListParagraph"/>
                              <w:numPr>
                                <w:ilvl w:val="0"/>
                                <w:numId w:val="30"/>
                              </w:numPr>
                              <w:rPr>
                                <w:sz w:val="22"/>
                                <w:szCs w:val="22"/>
                              </w:rPr>
                            </w:pPr>
                            <w:r w:rsidRPr="00235A4B">
                              <w:rPr>
                                <w:sz w:val="22"/>
                                <w:szCs w:val="22"/>
                              </w:rPr>
                              <w:t>Ensuring public awareness that LFR is deployed to help them safely exercise their rights to assemble and express themselves.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1652E5" id="_x0000_s1038" type="#_x0000_t202" style="position:absolute;left:0;text-align:left;margin-left:0;margin-top:6.7pt;width:425.3pt;height:256.15pt;z-index:2516638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" fillcolor="white [3201]" strokeweight=".5pt">
                <v:textbox>
                  <w:txbxContent>
                    <w:p w14:paraId="25634AA9" w14:textId="77777777" w:rsidR="00235A4B" w:rsidRPr="00235A4B" w:rsidRDefault="00717AD9" w:rsidP="00235A4B">
                      <w:pPr>
                        <w:rPr>
                          <w:sz w:val="22"/>
                          <w:szCs w:val="22"/>
                        </w:rPr>
                      </w:pPr>
                      <w:r>
                        <w:rPr>
                          <w:b/>
                          <w:bCs/>
                          <w:sz w:val="22"/>
                          <w:szCs w:val="22"/>
                        </w:rPr>
                        <w:t xml:space="preserve">Example: </w:t>
                      </w:r>
                      <w:r w:rsidR="00235A4B" w:rsidRPr="00235A4B">
                        <w:rPr>
                          <w:sz w:val="22"/>
                          <w:szCs w:val="22"/>
                        </w:rPr>
                        <w:t>LFR can assist Hertfordshire Constabulary in policing assemblies or demonstrations where intelligence indicates a risk to public safety. Specifically, LFR can help officers efficiently identify perpetrators of violence in crowded environments where locating them would otherwise be challenging.</w:t>
                      </w:r>
                    </w:p>
                    <w:p w14:paraId="6D3406B0" w14:textId="77777777" w:rsidR="00235A4B" w:rsidRPr="00235A4B" w:rsidRDefault="00235A4B" w:rsidP="00235A4B">
                      <w:pPr>
                        <w:rPr>
                          <w:sz w:val="22"/>
                          <w:szCs w:val="22"/>
                        </w:rPr>
                      </w:pPr>
                      <w:r w:rsidRPr="00235A4B">
                        <w:rPr>
                          <w:sz w:val="22"/>
                          <w:szCs w:val="22"/>
                        </w:rPr>
                        <w:t>When deciding whether LFR use is necessary and proportionate, regard must be had to Article 10 – Freedom of Expression and Article 11 – Freedom of Assembly and Association, noting that individuals may expect anonymity in a crowd and could alter their means of demonstration due to LFR deployment.</w:t>
                      </w:r>
                    </w:p>
                    <w:p w14:paraId="715CA772" w14:textId="1D7FC435" w:rsidR="00235A4B" w:rsidRPr="00235A4B" w:rsidRDefault="00235A4B" w:rsidP="00235A4B">
                      <w:pPr>
                        <w:rPr>
                          <w:sz w:val="22"/>
                          <w:szCs w:val="22"/>
                        </w:rPr>
                      </w:pPr>
                      <w:r w:rsidRPr="00235A4B">
                        <w:rPr>
                          <w:sz w:val="22"/>
                          <w:szCs w:val="22"/>
                        </w:rPr>
                        <w:t>Article 10 and 11 rights must be balanced against the need to use LFR to enable an assembly that might otherwise be disrupted by safety risks. Mitigation measures should be considered, including:</w:t>
                      </w:r>
                    </w:p>
                    <w:p w14:paraId="0A90B0BC" w14:textId="77777777" w:rsidR="00235A4B" w:rsidRPr="00235A4B" w:rsidRDefault="00235A4B" w:rsidP="00235A4B">
                      <w:pPr>
                        <w:pStyle w:val="ListParagraph"/>
                        <w:numPr>
                          <w:ilvl w:val="0"/>
                          <w:numId w:val="30"/>
                        </w:numPr>
                        <w:rPr>
                          <w:sz w:val="22"/>
                          <w:szCs w:val="22"/>
                        </w:rPr>
                      </w:pPr>
                      <w:r w:rsidRPr="00235A4B">
                        <w:rPr>
                          <w:sz w:val="22"/>
                          <w:szCs w:val="22"/>
                        </w:rPr>
                        <w:t xml:space="preserve">Limiting LFR use in time and scope to the minimum necessary for </w:t>
                      </w:r>
                      <w:proofErr w:type="gramStart"/>
                      <w:r w:rsidRPr="00235A4B">
                        <w:rPr>
                          <w:sz w:val="22"/>
                          <w:szCs w:val="22"/>
                        </w:rPr>
                        <w:t>safety;</w:t>
                      </w:r>
                      <w:proofErr w:type="gramEnd"/>
                    </w:p>
                    <w:p w14:paraId="57987099" w14:textId="6BD8DA8F" w:rsidR="00717AD9" w:rsidRPr="00235A4B" w:rsidRDefault="00235A4B" w:rsidP="00235A4B">
                      <w:pPr>
                        <w:pStyle w:val="ListParagraph"/>
                        <w:numPr>
                          <w:ilvl w:val="0"/>
                          <w:numId w:val="30"/>
                        </w:numPr>
                        <w:rPr>
                          <w:sz w:val="22"/>
                          <w:szCs w:val="22"/>
                        </w:rPr>
                      </w:pPr>
                      <w:r w:rsidRPr="00235A4B">
                        <w:rPr>
                          <w:sz w:val="22"/>
                          <w:szCs w:val="22"/>
                        </w:rPr>
                        <w:t>Ensuring public awareness that LFR is deployed to help them safely exercise their rights to assemble and express themselves.</w:t>
                      </w:r>
                    </w:p>
                  </w:txbxContent>
                </v:textbox>
                <w10:wrap anchorx="margin"/>
              </v:shape>
            </w:pict>
          </mc:Fallback>
        </mc:AlternateContent>
      </w:r>
    </w:p>
    <w:p w14:paraId="4CCC006A" w14:textId="77777777" w:rsidR="00235A4B" w:rsidRDefault="00235A4B" w:rsidP="003C4B73">
      <w:pPr>
        <w:pStyle w:val="ListParagraph"/>
        <w:rPr>
          <w:b/>
          <w:bCs/>
        </w:rPr>
      </w:pPr>
    </w:p>
    <w:p w14:paraId="1F2E848F" w14:textId="25ABA081" w:rsidR="00235A4B" w:rsidRDefault="00235A4B" w:rsidP="003C4B73">
      <w:pPr>
        <w:pStyle w:val="ListParagraph"/>
        <w:rPr>
          <w:b/>
          <w:bCs/>
        </w:rPr>
      </w:pPr>
    </w:p>
    <w:p w14:paraId="5AA15762" w14:textId="77777777" w:rsidR="00235A4B" w:rsidRDefault="00235A4B" w:rsidP="003C4B73">
      <w:pPr>
        <w:pStyle w:val="ListParagraph"/>
        <w:rPr>
          <w:b/>
          <w:bCs/>
        </w:rPr>
      </w:pPr>
    </w:p>
    <w:p w14:paraId="3B903B60" w14:textId="77777777" w:rsidR="00235A4B" w:rsidRDefault="00235A4B" w:rsidP="003C4B73">
      <w:pPr>
        <w:pStyle w:val="ListParagraph"/>
        <w:rPr>
          <w:b/>
          <w:bCs/>
        </w:rPr>
      </w:pPr>
    </w:p>
    <w:p w14:paraId="4366614A" w14:textId="77777777" w:rsidR="00235A4B" w:rsidRDefault="00235A4B" w:rsidP="003C4B73">
      <w:pPr>
        <w:pStyle w:val="ListParagraph"/>
        <w:rPr>
          <w:b/>
          <w:bCs/>
        </w:rPr>
      </w:pPr>
    </w:p>
    <w:p w14:paraId="62EC87AF" w14:textId="2B6975BD" w:rsidR="00235A4B" w:rsidRDefault="00235A4B" w:rsidP="003C4B73">
      <w:pPr>
        <w:pStyle w:val="ListParagraph"/>
        <w:rPr>
          <w:b/>
          <w:bCs/>
        </w:rPr>
      </w:pPr>
    </w:p>
    <w:p w14:paraId="4CC8F46B" w14:textId="77777777" w:rsidR="00235A4B" w:rsidRDefault="00235A4B" w:rsidP="003C4B73">
      <w:pPr>
        <w:pStyle w:val="ListParagraph"/>
        <w:rPr>
          <w:b/>
          <w:bCs/>
        </w:rPr>
      </w:pPr>
    </w:p>
    <w:p w14:paraId="6DF01EE0" w14:textId="77777777" w:rsidR="00235A4B" w:rsidRDefault="00235A4B" w:rsidP="003C4B73">
      <w:pPr>
        <w:pStyle w:val="ListParagraph"/>
        <w:rPr>
          <w:b/>
          <w:bCs/>
        </w:rPr>
      </w:pPr>
    </w:p>
    <w:p w14:paraId="5D4445E4" w14:textId="77777777" w:rsidR="00235A4B" w:rsidRDefault="00235A4B" w:rsidP="003C4B73">
      <w:pPr>
        <w:pStyle w:val="ListParagraph"/>
        <w:rPr>
          <w:b/>
          <w:bCs/>
        </w:rPr>
      </w:pPr>
    </w:p>
    <w:p w14:paraId="15F3098A" w14:textId="77777777" w:rsidR="00235A4B" w:rsidRDefault="00235A4B" w:rsidP="003C4B73">
      <w:pPr>
        <w:pStyle w:val="ListParagraph"/>
        <w:rPr>
          <w:b/>
          <w:bCs/>
        </w:rPr>
      </w:pPr>
    </w:p>
    <w:p w14:paraId="4F46309F" w14:textId="77777777" w:rsidR="00235A4B" w:rsidRDefault="00235A4B" w:rsidP="003C4B73">
      <w:pPr>
        <w:pStyle w:val="ListParagraph"/>
        <w:rPr>
          <w:b/>
          <w:bCs/>
        </w:rPr>
      </w:pPr>
    </w:p>
    <w:p w14:paraId="4AB2F778" w14:textId="7DD1C5E5" w:rsidR="00235A4B" w:rsidRDefault="00235A4B" w:rsidP="003C4B73">
      <w:pPr>
        <w:pStyle w:val="ListParagraph"/>
        <w:rPr>
          <w:b/>
          <w:bCs/>
        </w:rPr>
      </w:pPr>
    </w:p>
    <w:p w14:paraId="57953463" w14:textId="72349956" w:rsidR="003C4B73" w:rsidRDefault="00D80351" w:rsidP="00D80351">
      <w:pPr>
        <w:pStyle w:val="Heading1"/>
        <w:numPr>
          <w:ilvl w:val="0"/>
          <w:numId w:val="1"/>
        </w:numPr>
        <w:rPr>
          <w:sz w:val="36"/>
          <w:szCs w:val="36"/>
        </w:rPr>
      </w:pPr>
      <w:bookmarkStart w:id="4" w:name="_Toc216180222"/>
      <w:r w:rsidRPr="00D80351">
        <w:rPr>
          <w:sz w:val="36"/>
          <w:szCs w:val="36"/>
        </w:rPr>
        <w:lastRenderedPageBreak/>
        <w:t>Equality Act 2010</w:t>
      </w:r>
      <w:bookmarkEnd w:id="4"/>
    </w:p>
    <w:p w14:paraId="5A33E379" w14:textId="39C97AFF" w:rsidR="00005395" w:rsidRDefault="00005395" w:rsidP="00A00F9C">
      <w:pPr>
        <w:pStyle w:val="ListParagraph"/>
        <w:numPr>
          <w:ilvl w:val="1"/>
          <w:numId w:val="1"/>
        </w:numPr>
      </w:pPr>
      <w:r>
        <w:t>The Equality Act 2010 provides a legal framework to protect individual rights and advance equality of opportunity for all. It prohibits discrimination based on protected characteristics and applies to both direct and indirect discrimination.</w:t>
      </w:r>
    </w:p>
    <w:p w14:paraId="10D43AAD" w14:textId="13AA86CE" w:rsidR="00F54FC5" w:rsidRDefault="00005395" w:rsidP="00005395">
      <w:pPr>
        <w:pStyle w:val="ListParagraph"/>
      </w:pPr>
      <w:r>
        <w:t>As a public authority, Hertfordshire Constabulary must comply with Section 149 of the Equality Act 2010, commonly known as the Public Sector Equality Duty (PSED).</w:t>
      </w:r>
    </w:p>
    <w:p w14:paraId="4749B751" w14:textId="77777777" w:rsidR="00A00F9C" w:rsidRDefault="00A00F9C" w:rsidP="00005395">
      <w:pPr>
        <w:pStyle w:val="ListParagraph"/>
      </w:pPr>
    </w:p>
    <w:p w14:paraId="29C74476" w14:textId="646C5BC3" w:rsidR="003D3001" w:rsidRDefault="00CD6204" w:rsidP="00CD6204">
      <w:pPr>
        <w:pStyle w:val="ListParagraph"/>
        <w:numPr>
          <w:ilvl w:val="1"/>
          <w:numId w:val="1"/>
        </w:numPr>
      </w:pPr>
      <w:r w:rsidRPr="00CD6204">
        <w:t>The Equality Act 2010 prohibits discrimination based on protected characteristics and applies to both direct and indirect discrimination. As a public authority, Hertfordshire Constabulary must comply with the Public Sector Equality Duty (PSED) under Section 149.</w:t>
      </w:r>
    </w:p>
    <w:p w14:paraId="51848843" w14:textId="77777777" w:rsidR="00CD6204" w:rsidRDefault="00CD6204" w:rsidP="00CD6204">
      <w:pPr>
        <w:pStyle w:val="ListParagraph"/>
      </w:pPr>
    </w:p>
    <w:p w14:paraId="0BEC65B6" w14:textId="77777777" w:rsidR="00CD6204" w:rsidRDefault="00CD6204" w:rsidP="00CD6204">
      <w:pPr>
        <w:pStyle w:val="ListParagraph"/>
      </w:pPr>
      <w:r>
        <w:t>Compliance focuses on two areas:</w:t>
      </w:r>
    </w:p>
    <w:p w14:paraId="02A4B898" w14:textId="0B9EAEF5" w:rsidR="00CD6204" w:rsidRDefault="00CD6204" w:rsidP="00CD6204">
      <w:pPr>
        <w:pStyle w:val="ListParagraph"/>
        <w:numPr>
          <w:ilvl w:val="0"/>
          <w:numId w:val="33"/>
        </w:numPr>
      </w:pPr>
      <w:r>
        <w:t>Technical performance and (b) Operational deployment.</w:t>
      </w:r>
    </w:p>
    <w:p w14:paraId="40BD4A65" w14:textId="77777777" w:rsidR="00CD6204" w:rsidRDefault="00CD6204" w:rsidP="00CD6204">
      <w:pPr>
        <w:ind w:left="720"/>
      </w:pPr>
    </w:p>
    <w:p w14:paraId="04DF3EC8" w14:textId="04F93877" w:rsidR="00CD6204" w:rsidRDefault="00CD6204" w:rsidP="00CD6204">
      <w:pPr>
        <w:pStyle w:val="ListParagraph"/>
        <w:numPr>
          <w:ilvl w:val="0"/>
          <w:numId w:val="34"/>
        </w:numPr>
      </w:pPr>
      <w:r>
        <w:t>Technical Performance</w:t>
      </w:r>
    </w:p>
    <w:p w14:paraId="35DD2BE0" w14:textId="1AD44EC2" w:rsidR="00CD6204" w:rsidRDefault="00CD6204" w:rsidP="00CD6204">
      <w:pPr>
        <w:ind w:left="720"/>
      </w:pPr>
      <w:r>
        <w:t>The Court of Appeal in Bridges confirmed that PSED requires forces to ensure algorithms do not exhibit unacceptable bias. Hertfordshire Constabulary has:</w:t>
      </w:r>
    </w:p>
    <w:p w14:paraId="7FD86AF8" w14:textId="77777777" w:rsidR="00CD6204" w:rsidRDefault="00CD6204" w:rsidP="00CB292B">
      <w:pPr>
        <w:pStyle w:val="ListParagraph"/>
        <w:numPr>
          <w:ilvl w:val="0"/>
          <w:numId w:val="35"/>
        </w:numPr>
        <w:ind w:left="720"/>
      </w:pPr>
      <w:r>
        <w:t>Considered independent evaluations (NIST and NPL) of algorithm accuracy and demographic performance;</w:t>
      </w:r>
    </w:p>
    <w:p w14:paraId="5EBD464B" w14:textId="77777777" w:rsidR="00CD6204" w:rsidRDefault="00CD6204" w:rsidP="006F0916">
      <w:pPr>
        <w:pStyle w:val="ListParagraph"/>
        <w:numPr>
          <w:ilvl w:val="0"/>
          <w:numId w:val="35"/>
        </w:numPr>
        <w:ind w:left="720"/>
      </w:pPr>
      <w:r>
        <w:t>Implemented ongoing assurance through post-deployment reviews and monitoring;</w:t>
      </w:r>
    </w:p>
    <w:p w14:paraId="5EB9D916" w14:textId="32BDA519" w:rsidR="00CD6204" w:rsidRDefault="00CD6204" w:rsidP="00CD6204">
      <w:pPr>
        <w:pStyle w:val="ListParagraph"/>
        <w:numPr>
          <w:ilvl w:val="0"/>
          <w:numId w:val="35"/>
        </w:numPr>
        <w:ind w:left="720"/>
      </w:pPr>
      <w:r>
        <w:t>Commissioned an independent academic study on equitability across ethnicity, age, and gender.</w:t>
      </w:r>
    </w:p>
    <w:p w14:paraId="21F920EF" w14:textId="77777777" w:rsidR="00641894" w:rsidRDefault="00641894" w:rsidP="00641894">
      <w:pPr>
        <w:pStyle w:val="ListParagraph"/>
      </w:pPr>
    </w:p>
    <w:p w14:paraId="1ACA138F" w14:textId="1B0AD20B" w:rsidR="00CD6204" w:rsidRDefault="00CD6204" w:rsidP="00CD6204">
      <w:pPr>
        <w:pStyle w:val="ListParagraph"/>
        <w:numPr>
          <w:ilvl w:val="0"/>
          <w:numId w:val="34"/>
        </w:numPr>
      </w:pPr>
      <w:r>
        <w:t>Operational Deployment</w:t>
      </w:r>
    </w:p>
    <w:p w14:paraId="6C9512A7" w14:textId="555D245F" w:rsidR="00CD6204" w:rsidRDefault="00CD6204" w:rsidP="00CD6204">
      <w:pPr>
        <w:ind w:left="720"/>
      </w:pPr>
      <w:r>
        <w:t>LFR Documents address factors such as camera configuration, lighting, crowd flow, and subject characteristics to ensure fair and effective operation. Operators are trained to identify Watchlist issues and apply safeguards during identification.</w:t>
      </w:r>
    </w:p>
    <w:p w14:paraId="7FFBA333" w14:textId="77777777" w:rsidR="0004713B" w:rsidRDefault="00F125B9" w:rsidP="0004713B">
      <w:pPr>
        <w:pStyle w:val="NoSpacing"/>
        <w:ind w:left="720"/>
      </w:pPr>
      <w:r>
        <w:t>Fail-Safe Position</w:t>
      </w:r>
    </w:p>
    <w:p w14:paraId="444439C7" w14:textId="3BEF1901" w:rsidR="0004713B" w:rsidRDefault="00F125B9" w:rsidP="0004713B">
      <w:pPr>
        <w:pStyle w:val="NoSpacing"/>
        <w:ind w:left="720"/>
      </w:pPr>
      <w:r>
        <w:t>No engagement occurs unless an officer reviews an alert and confirms a match. Decisions remain with trained officers, ensuring proportionality and compliance with equality duties.</w:t>
      </w:r>
      <w:r w:rsidR="00580DA7" w:rsidRPr="00580DA7">
        <w:rPr>
          <w:rFonts w:ascii="Arial" w:hAnsi="Arial" w:cs="Arial"/>
          <w:noProof/>
          <w:sz w:val="20"/>
          <w:highlight w:val="yellow"/>
        </w:rPr>
        <w:t xml:space="preserve"> </w:t>
      </w:r>
    </w:p>
    <w:p w14:paraId="04520CA8" w14:textId="566EA93C" w:rsidR="00580DA7" w:rsidRDefault="00580DA7" w:rsidP="00F125B9">
      <w:pPr>
        <w:ind w:left="720"/>
      </w:pPr>
      <w:r w:rsidRPr="00366213">
        <w:rPr>
          <w:rFonts w:ascii="Arial" w:hAnsi="Arial" w:cs="Arial"/>
          <w:noProof/>
          <w:sz w:val="20"/>
          <w:highlight w:val="yellow"/>
        </w:rPr>
        <mc:AlternateContent>
          <mc:Choice Requires="wps">
            <w:drawing>
              <wp:anchor distT="0" distB="0" distL="0" distR="0" simplePos="0" relativeHeight="251664896" behindDoc="1" locked="0" layoutInCell="1" allowOverlap="1" wp14:anchorId="632EBF8B" wp14:editId="6E5F354A">
                <wp:simplePos x="0" y="0"/>
                <wp:positionH relativeFrom="margin">
                  <wp:align>left</wp:align>
                </wp:positionH>
                <wp:positionV relativeFrom="paragraph">
                  <wp:posOffset>193129</wp:posOffset>
                </wp:positionV>
                <wp:extent cx="1828800" cy="9525"/>
                <wp:effectExtent l="0" t="0" r="0" b="0"/>
                <wp:wrapTopAndBottom/>
                <wp:docPr id="78696854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701A9B" id="Graphic 6" o:spid="_x0000_s1026" style="position:absolute;margin-left:0;margin-top:15.2pt;width:2in;height:.75pt;z-index:-251651584;visibility:visible;mso-wrap-style:square;mso-wrap-distance-left:0;mso-wrap-distance-top:0;mso-wrap-distance-right:0;mso-wrap-distance-bottom:0;mso-position-horizontal:left;mso-position-horizontal-relative:margin;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" path="m1828800,l,,,9144r1828800,l1828800,xe" fillcolor="black" stroked="f">
                <v:path arrowok="t"/>
                <w10:wrap type="topAndBottom" anchorx="margin"/>
              </v:shape>
            </w:pict>
          </mc:Fallback>
        </mc:AlternateContent>
      </w:r>
    </w:p>
    <w:p w14:paraId="015910AF" w14:textId="0CB32056" w:rsidR="00580DA7" w:rsidRDefault="00580DA7" w:rsidP="00580DA7">
      <w:pPr>
        <w:rPr>
          <w:i/>
          <w:iCs/>
          <w:sz w:val="20"/>
          <w:szCs w:val="20"/>
        </w:rPr>
      </w:pPr>
      <w:r w:rsidRPr="00580DA7">
        <w:rPr>
          <w:i/>
          <w:iCs/>
          <w:sz w:val="20"/>
          <w:szCs w:val="20"/>
        </w:rPr>
        <w:t>¹ R (Bridges) v Chief Constable of South Wales Police [2020] EWCA Civ 1058.</w:t>
      </w:r>
    </w:p>
    <w:p w14:paraId="0407F693" w14:textId="3A511260" w:rsidR="00580DA7" w:rsidRDefault="00195F38" w:rsidP="00580DA7">
      <w:r w:rsidRPr="00366213">
        <w:rPr>
          <w:rFonts w:ascii="Arial" w:hAnsi="Arial" w:cs="Arial"/>
          <w:noProof/>
          <w:sz w:val="20"/>
        </w:rPr>
        <w:lastRenderedPageBreak/>
        <mc:AlternateContent>
          <mc:Choice Requires="wps">
            <w:drawing>
              <wp:anchor distT="0" distB="0" distL="0" distR="0" simplePos="0" relativeHeight="251665920" behindDoc="1" locked="0" layoutInCell="1" allowOverlap="1" wp14:anchorId="77B3202F" wp14:editId="3894C0FF">
                <wp:simplePos x="0" y="0"/>
                <wp:positionH relativeFrom="margin">
                  <wp:align>left</wp:align>
                </wp:positionH>
                <wp:positionV relativeFrom="paragraph">
                  <wp:posOffset>0</wp:posOffset>
                </wp:positionV>
                <wp:extent cx="5187950" cy="1030605"/>
                <wp:effectExtent l="0" t="0" r="12700" b="17145"/>
                <wp:wrapTopAndBottom/>
                <wp:docPr id="1873487520"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1030605"/>
                        </a:xfrm>
                        <a:prstGeom prst="rect">
                          <a:avLst/>
                        </a:prstGeom>
                        <a:ln w="6108">
                          <a:solidFill>
                            <a:srgbClr val="000000"/>
                          </a:solidFill>
                          <a:prstDash val="solid"/>
                        </a:ln>
                      </wps:spPr>
                      <wps:txbx>
                        <w:txbxContent>
                          <w:p w14:paraId="0FB085E6" w14:textId="432CFC8E" w:rsidR="00195F38" w:rsidRPr="00366213" w:rsidRDefault="00195F38" w:rsidP="00195F38">
                            <w:pPr>
                              <w:pStyle w:val="BodyText"/>
                              <w:ind w:left="103" w:right="98"/>
                              <w:jc w:val="both"/>
                            </w:pPr>
                            <w:r w:rsidRPr="00366213">
                              <w:rPr>
                                <w:b/>
                              </w:rPr>
                              <w:t>Authorising Officers</w:t>
                            </w:r>
                            <w:r w:rsidRPr="00366213">
                              <w:t xml:space="preserve">: </w:t>
                            </w:r>
                            <w:r w:rsidR="00580D76" w:rsidRPr="00580D76">
                              <w:t>In order to ensure that the officer is best able to make an informed decision on any Engagement, all officers who are part of an LFR Deployment are to have been briefed on the operation of the LFR system. This includes Subject, System and Environmental Factors that can impact performance. LFR Engagement Officers should also have been given training relating to unconscious bias given their key role in the Engagement decision making process.</w:t>
                            </w:r>
                          </w:p>
                        </w:txbxContent>
                      </wps:txbx>
                      <wps:bodyPr wrap="square" lIns="0" tIns="0" rIns="0" bIns="0" rtlCol="0">
                        <a:noAutofit/>
                      </wps:bodyPr>
                    </wps:wsp>
                  </a:graphicData>
                </a:graphic>
              </wp:anchor>
            </w:drawing>
          </mc:Choice>
          <mc:Fallback>
            <w:pict>
              <v:shape w14:anchorId="77B3202F" id="_x0000_s1039" type="#_x0000_t202" style="position:absolute;margin-left:0;margin-top:0;width:408.5pt;height:81.15pt;z-index:-251650560;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" filled="f" strokeweight=".16967mm">
                <v:path arrowok="t"/>
                <v:textbox inset="0,0,0,0">
                  <w:txbxContent>
                    <w:p w14:paraId="0FB085E6" w14:textId="432CFC8E" w:rsidR="00195F38" w:rsidRPr="00366213" w:rsidRDefault="00195F38" w:rsidP="00195F38">
                      <w:pPr>
                        <w:pStyle w:val="BodyText"/>
                        <w:ind w:left="103" w:right="98"/>
                        <w:jc w:val="both"/>
                      </w:pPr>
                      <w:r w:rsidRPr="00366213">
                        <w:rPr>
                          <w:b/>
                        </w:rPr>
                        <w:t>Authorising Officers</w:t>
                      </w:r>
                      <w:r w:rsidRPr="00366213">
                        <w:t xml:space="preserve">: </w:t>
                      </w:r>
                      <w:proofErr w:type="gramStart"/>
                      <w:r w:rsidR="00580D76" w:rsidRPr="00580D76">
                        <w:t>In order to</w:t>
                      </w:r>
                      <w:proofErr w:type="gramEnd"/>
                      <w:r w:rsidR="00580D76" w:rsidRPr="00580D76">
                        <w:t xml:space="preserve"> ensure that the officer is best able to make an informed decision on any Engagement, all officers who are part of an LFR Deployment are to have been briefed on the operation of the LFR system. This includes Subject, System and Environmental Factors that can impact performance. LFR Engagement Officers should also have been given training relating to unconscious bias given their key role in the Engagement decision making process.</w:t>
                      </w:r>
                    </w:p>
                  </w:txbxContent>
                </v:textbox>
                <w10:wrap type="topAndBottom" anchorx="margin"/>
              </v:shape>
            </w:pict>
          </mc:Fallback>
        </mc:AlternateContent>
      </w:r>
    </w:p>
    <w:p w14:paraId="69FE1782" w14:textId="625DE643" w:rsidR="003332EC" w:rsidRDefault="003332EC" w:rsidP="003332EC">
      <w:pPr>
        <w:pStyle w:val="Heading1"/>
        <w:numPr>
          <w:ilvl w:val="0"/>
          <w:numId w:val="1"/>
        </w:numPr>
        <w:rPr>
          <w:sz w:val="36"/>
          <w:szCs w:val="36"/>
        </w:rPr>
      </w:pPr>
      <w:bookmarkStart w:id="5" w:name="_Toc216180223"/>
      <w:r>
        <w:rPr>
          <w:sz w:val="36"/>
          <w:szCs w:val="36"/>
        </w:rPr>
        <w:t>Data Protection Act 2018</w:t>
      </w:r>
      <w:bookmarkEnd w:id="5"/>
    </w:p>
    <w:p w14:paraId="65816B35" w14:textId="4E96A738" w:rsidR="00F8095F" w:rsidRDefault="00F8095F" w:rsidP="00F8095F">
      <w:pPr>
        <w:pStyle w:val="ListParagraph"/>
        <w:numPr>
          <w:ilvl w:val="1"/>
          <w:numId w:val="1"/>
        </w:numPr>
      </w:pPr>
      <w:r>
        <w:t>Hertfordshire Constabulary processes personal data for LFR “based on law”, relying on its common law policing powers and human rights and equality considerations outlined in this Legal Mandate, supported by policies in Hertfordshire Constabulary LFR Documents.</w:t>
      </w:r>
    </w:p>
    <w:p w14:paraId="0B5CBAAB" w14:textId="77777777" w:rsidR="00F8095F" w:rsidRDefault="00F8095F" w:rsidP="00F8095F">
      <w:pPr>
        <w:pStyle w:val="ListParagraph"/>
      </w:pPr>
    </w:p>
    <w:p w14:paraId="30FAC465" w14:textId="77777777" w:rsidR="00F8095F" w:rsidRDefault="00F8095F" w:rsidP="00F8095F">
      <w:pPr>
        <w:pStyle w:val="ListParagraph"/>
      </w:pPr>
      <w:r>
        <w:t>The Appropriate Policy Document, along with other published LFR materials, ensures transparency by allowing the public and those on Watchlists to understand:</w:t>
      </w:r>
    </w:p>
    <w:p w14:paraId="1F4D1F00" w14:textId="77777777" w:rsidR="00F8095F" w:rsidRDefault="00F8095F" w:rsidP="00F8095F">
      <w:pPr>
        <w:pStyle w:val="ListParagraph"/>
      </w:pPr>
    </w:p>
    <w:p w14:paraId="6CAB0157" w14:textId="77777777" w:rsidR="00F8095F" w:rsidRDefault="00F8095F" w:rsidP="00F8095F">
      <w:pPr>
        <w:pStyle w:val="ListParagraph"/>
        <w:numPr>
          <w:ilvl w:val="0"/>
          <w:numId w:val="36"/>
        </w:numPr>
      </w:pPr>
      <w:r>
        <w:t>The standards Hertfordshire Constabulary operates to;</w:t>
      </w:r>
    </w:p>
    <w:p w14:paraId="775F453D" w14:textId="77777777" w:rsidR="00F8095F" w:rsidRDefault="00F8095F" w:rsidP="00F8095F">
      <w:pPr>
        <w:pStyle w:val="ListParagraph"/>
        <w:numPr>
          <w:ilvl w:val="0"/>
          <w:numId w:val="36"/>
        </w:numPr>
      </w:pPr>
      <w:r>
        <w:t>The authorisation process and deployment requirements;</w:t>
      </w:r>
    </w:p>
    <w:p w14:paraId="1CF01EE3" w14:textId="77777777" w:rsidR="00F8095F" w:rsidRDefault="00F8095F" w:rsidP="00F8095F">
      <w:pPr>
        <w:pStyle w:val="ListParagraph"/>
        <w:numPr>
          <w:ilvl w:val="0"/>
          <w:numId w:val="36"/>
        </w:numPr>
      </w:pPr>
      <w:r>
        <w:t>Where LFR may be used; and</w:t>
      </w:r>
    </w:p>
    <w:p w14:paraId="3A8D8617" w14:textId="42DDA954" w:rsidR="003332EC" w:rsidRDefault="00F8095F" w:rsidP="00F8095F">
      <w:pPr>
        <w:pStyle w:val="ListParagraph"/>
        <w:numPr>
          <w:ilvl w:val="0"/>
          <w:numId w:val="36"/>
        </w:numPr>
      </w:pPr>
      <w:r>
        <w:t>The considerations and constraints governing Watchlist inclusion.</w:t>
      </w:r>
    </w:p>
    <w:p w14:paraId="5B899011" w14:textId="77777777" w:rsidR="00AD1206" w:rsidRDefault="00AD1206" w:rsidP="00AD1206">
      <w:pPr>
        <w:pStyle w:val="ListParagraph"/>
        <w:ind w:left="1440"/>
      </w:pPr>
    </w:p>
    <w:p w14:paraId="71FF3605" w14:textId="4078FED7" w:rsidR="00AD1206" w:rsidRDefault="00AD1206" w:rsidP="00AD1206">
      <w:pPr>
        <w:pStyle w:val="ListParagraph"/>
        <w:numPr>
          <w:ilvl w:val="1"/>
          <w:numId w:val="1"/>
        </w:numPr>
      </w:pPr>
      <w:r>
        <w:t>For the prevention of crime and disorder, Part 3 of the Data Protection Act 2018 (DPA) regulates the processing of personal data, including sensitive data, whether captured via computer, CCTV, still images, or other media. Any recorded image capable of identifying an individual constitutes personal data, meaning the DPA applies to LFR both when locating individuals on a Watchlist and when processing biometric data of the wider public to confirm they are not on a Watchlist.</w:t>
      </w:r>
    </w:p>
    <w:p w14:paraId="63C08B7E" w14:textId="650ACC0A" w:rsidR="00AD1206" w:rsidRDefault="00AD1206" w:rsidP="00AD1206">
      <w:pPr>
        <w:pStyle w:val="ListParagraph"/>
      </w:pPr>
    </w:p>
    <w:p w14:paraId="35B37C69" w14:textId="411C2772" w:rsidR="00AD1206" w:rsidRDefault="00AD1206" w:rsidP="00AD1206">
      <w:pPr>
        <w:pStyle w:val="ListParagraph"/>
      </w:pPr>
      <w:r>
        <w:t>Under Section 31 DPA, processing for law enforcement purposes includes:</w:t>
      </w:r>
    </w:p>
    <w:p w14:paraId="55B779E4" w14:textId="702209EB" w:rsidR="00786278" w:rsidRDefault="007020D7" w:rsidP="00AD1206">
      <w:pPr>
        <w:pStyle w:val="ListParagraph"/>
      </w:pPr>
      <w:r w:rsidRPr="00366213">
        <w:rPr>
          <w:rFonts w:ascii="Arial" w:hAnsi="Arial" w:cs="Arial"/>
          <w:noProof/>
          <w:sz w:val="20"/>
        </w:rPr>
        <mc:AlternateContent>
          <mc:Choice Requires="wps">
            <w:drawing>
              <wp:anchor distT="0" distB="0" distL="0" distR="0" simplePos="0" relativeHeight="251666944" behindDoc="1" locked="0" layoutInCell="1" allowOverlap="1" wp14:anchorId="4B8CBC75" wp14:editId="64E35D7A">
                <wp:simplePos x="0" y="0"/>
                <wp:positionH relativeFrom="margin">
                  <wp:align>center</wp:align>
                </wp:positionH>
                <wp:positionV relativeFrom="paragraph">
                  <wp:posOffset>873760</wp:posOffset>
                </wp:positionV>
                <wp:extent cx="5187950" cy="1104900"/>
                <wp:effectExtent l="0" t="0" r="12700" b="19050"/>
                <wp:wrapTopAndBottom/>
                <wp:docPr id="2133999042"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1104900"/>
                        </a:xfrm>
                        <a:prstGeom prst="rect">
                          <a:avLst/>
                        </a:prstGeom>
                        <a:ln w="6108">
                          <a:solidFill>
                            <a:srgbClr val="000000"/>
                          </a:solidFill>
                          <a:prstDash val="solid"/>
                        </a:ln>
                      </wps:spPr>
                      <wps:txbx>
                        <w:txbxContent>
                          <w:p w14:paraId="2173E9F5" w14:textId="26902576" w:rsidR="004C022B" w:rsidRPr="00366213" w:rsidRDefault="004C022B" w:rsidP="004C022B">
                            <w:pPr>
                              <w:pStyle w:val="BodyText"/>
                              <w:ind w:left="103" w:right="98"/>
                              <w:jc w:val="both"/>
                            </w:pPr>
                            <w:r w:rsidRPr="00366213">
                              <w:rPr>
                                <w:b/>
                              </w:rPr>
                              <w:t>Authorising Officers</w:t>
                            </w:r>
                            <w:r w:rsidRPr="00366213">
                              <w:t xml:space="preserve">: </w:t>
                            </w:r>
                            <w:r w:rsidR="007020D7" w:rsidRPr="00366213">
                              <w:rPr>
                                <w:color w:val="000000"/>
                              </w:rPr>
                              <w:t>Authorising Officers already need be satisfied of the necessity to use LFR</w:t>
                            </w:r>
                            <w:r w:rsidR="007020D7" w:rsidRPr="00366213">
                              <w:rPr>
                                <w:color w:val="000000"/>
                                <w:spacing w:val="-13"/>
                              </w:rPr>
                              <w:t xml:space="preserve"> </w:t>
                            </w:r>
                            <w:r w:rsidR="007020D7" w:rsidRPr="00366213">
                              <w:rPr>
                                <w:color w:val="000000"/>
                              </w:rPr>
                              <w:t>to</w:t>
                            </w:r>
                            <w:r w:rsidR="007020D7" w:rsidRPr="00366213">
                              <w:rPr>
                                <w:color w:val="000000"/>
                                <w:spacing w:val="-12"/>
                              </w:rPr>
                              <w:t xml:space="preserve"> </w:t>
                            </w:r>
                            <w:r w:rsidR="007020D7" w:rsidRPr="00366213">
                              <w:rPr>
                                <w:color w:val="000000"/>
                              </w:rPr>
                              <w:t>prevent</w:t>
                            </w:r>
                            <w:r w:rsidR="007020D7" w:rsidRPr="00366213">
                              <w:rPr>
                                <w:color w:val="000000"/>
                                <w:spacing w:val="-13"/>
                              </w:rPr>
                              <w:t xml:space="preserve"> </w:t>
                            </w:r>
                            <w:r w:rsidR="007020D7" w:rsidRPr="00366213">
                              <w:rPr>
                                <w:color w:val="000000"/>
                              </w:rPr>
                              <w:t>crime</w:t>
                            </w:r>
                            <w:r w:rsidR="007020D7" w:rsidRPr="00366213">
                              <w:rPr>
                                <w:color w:val="000000"/>
                                <w:spacing w:val="-12"/>
                              </w:rPr>
                              <w:t xml:space="preserve"> </w:t>
                            </w:r>
                            <w:r w:rsidR="007020D7" w:rsidRPr="00366213">
                              <w:rPr>
                                <w:color w:val="000000"/>
                              </w:rPr>
                              <w:t>and</w:t>
                            </w:r>
                            <w:r w:rsidR="007020D7" w:rsidRPr="00366213">
                              <w:rPr>
                                <w:color w:val="000000"/>
                                <w:spacing w:val="-13"/>
                              </w:rPr>
                              <w:t xml:space="preserve"> </w:t>
                            </w:r>
                            <w:r w:rsidR="007020D7" w:rsidRPr="00366213">
                              <w:rPr>
                                <w:color w:val="000000"/>
                              </w:rPr>
                              <w:t>disorder</w:t>
                            </w:r>
                            <w:r w:rsidR="007020D7" w:rsidRPr="00366213">
                              <w:rPr>
                                <w:color w:val="000000"/>
                                <w:spacing w:val="-12"/>
                              </w:rPr>
                              <w:t xml:space="preserve"> </w:t>
                            </w:r>
                            <w:r w:rsidR="007020D7" w:rsidRPr="00366213">
                              <w:rPr>
                                <w:color w:val="000000"/>
                              </w:rPr>
                              <w:t>and</w:t>
                            </w:r>
                            <w:r w:rsidR="007020D7" w:rsidRPr="00366213">
                              <w:rPr>
                                <w:color w:val="000000"/>
                                <w:spacing w:val="-13"/>
                              </w:rPr>
                              <w:t xml:space="preserve"> </w:t>
                            </w:r>
                            <w:r w:rsidR="007020D7" w:rsidRPr="00366213">
                              <w:rPr>
                                <w:color w:val="000000"/>
                              </w:rPr>
                              <w:t>ensure</w:t>
                            </w:r>
                            <w:r w:rsidR="007020D7" w:rsidRPr="00366213">
                              <w:rPr>
                                <w:color w:val="000000"/>
                                <w:spacing w:val="-12"/>
                              </w:rPr>
                              <w:t xml:space="preserve"> </w:t>
                            </w:r>
                            <w:r w:rsidR="007020D7" w:rsidRPr="00366213">
                              <w:rPr>
                                <w:color w:val="000000"/>
                              </w:rPr>
                              <w:t>public</w:t>
                            </w:r>
                            <w:r w:rsidR="007020D7" w:rsidRPr="00366213">
                              <w:rPr>
                                <w:color w:val="000000"/>
                                <w:spacing w:val="-12"/>
                              </w:rPr>
                              <w:t xml:space="preserve"> </w:t>
                            </w:r>
                            <w:r w:rsidR="007020D7" w:rsidRPr="00366213">
                              <w:rPr>
                                <w:color w:val="000000"/>
                              </w:rPr>
                              <w:t>safety</w:t>
                            </w:r>
                            <w:r w:rsidR="007020D7" w:rsidRPr="00366213">
                              <w:rPr>
                                <w:color w:val="000000"/>
                                <w:spacing w:val="-13"/>
                              </w:rPr>
                              <w:t xml:space="preserve"> </w:t>
                            </w:r>
                            <w:r w:rsidR="007020D7" w:rsidRPr="00366213">
                              <w:rPr>
                                <w:color w:val="000000"/>
                              </w:rPr>
                              <w:t>in</w:t>
                            </w:r>
                            <w:r w:rsidR="007020D7" w:rsidRPr="00366213">
                              <w:rPr>
                                <w:color w:val="000000"/>
                                <w:spacing w:val="-12"/>
                              </w:rPr>
                              <w:t xml:space="preserve"> </w:t>
                            </w:r>
                            <w:r w:rsidR="007020D7" w:rsidRPr="00366213">
                              <w:rPr>
                                <w:color w:val="000000"/>
                              </w:rPr>
                              <w:t>the</w:t>
                            </w:r>
                            <w:r w:rsidR="007020D7" w:rsidRPr="00366213">
                              <w:rPr>
                                <w:color w:val="000000"/>
                                <w:spacing w:val="-13"/>
                              </w:rPr>
                              <w:t xml:space="preserve"> </w:t>
                            </w:r>
                            <w:r w:rsidR="007020D7" w:rsidRPr="00366213">
                              <w:rPr>
                                <w:color w:val="000000"/>
                              </w:rPr>
                              <w:t>context</w:t>
                            </w:r>
                            <w:r w:rsidR="007020D7" w:rsidRPr="00366213">
                              <w:rPr>
                                <w:color w:val="000000"/>
                                <w:spacing w:val="-12"/>
                              </w:rPr>
                              <w:t xml:space="preserve"> </w:t>
                            </w:r>
                            <w:r w:rsidR="007020D7" w:rsidRPr="00366213">
                              <w:rPr>
                                <w:color w:val="000000"/>
                              </w:rPr>
                              <w:t>of</w:t>
                            </w:r>
                            <w:r w:rsidR="007020D7" w:rsidRPr="00366213">
                              <w:rPr>
                                <w:color w:val="000000"/>
                                <w:spacing w:val="-13"/>
                              </w:rPr>
                              <w:t xml:space="preserve"> </w:t>
                            </w:r>
                            <w:r w:rsidR="007020D7" w:rsidRPr="00366213">
                              <w:rPr>
                                <w:color w:val="000000"/>
                              </w:rPr>
                              <w:t>the</w:t>
                            </w:r>
                            <w:r w:rsidR="007020D7" w:rsidRPr="00366213">
                              <w:rPr>
                                <w:color w:val="000000"/>
                                <w:spacing w:val="-12"/>
                              </w:rPr>
                              <w:t xml:space="preserve"> </w:t>
                            </w:r>
                            <w:r w:rsidR="007020D7" w:rsidRPr="00366213">
                              <w:rPr>
                                <w:color w:val="000000"/>
                              </w:rPr>
                              <w:t>Human</w:t>
                            </w:r>
                            <w:r w:rsidR="007020D7" w:rsidRPr="00366213">
                              <w:rPr>
                                <w:color w:val="000000"/>
                                <w:spacing w:val="-12"/>
                              </w:rPr>
                              <w:t xml:space="preserve"> </w:t>
                            </w:r>
                            <w:r w:rsidR="007020D7" w:rsidRPr="00366213">
                              <w:rPr>
                                <w:color w:val="000000"/>
                              </w:rPr>
                              <w:t>Rights Act</w:t>
                            </w:r>
                            <w:r w:rsidR="007020D7" w:rsidRPr="00366213">
                              <w:rPr>
                                <w:color w:val="000000"/>
                                <w:spacing w:val="-13"/>
                              </w:rPr>
                              <w:t xml:space="preserve"> </w:t>
                            </w:r>
                            <w:r w:rsidR="007020D7" w:rsidRPr="00366213">
                              <w:rPr>
                                <w:color w:val="000000"/>
                              </w:rPr>
                              <w:t>1998.</w:t>
                            </w:r>
                            <w:r w:rsidR="007020D7" w:rsidRPr="00366213">
                              <w:rPr>
                                <w:color w:val="000000"/>
                                <w:spacing w:val="-12"/>
                              </w:rPr>
                              <w:t xml:space="preserve"> </w:t>
                            </w:r>
                            <w:r w:rsidR="007020D7" w:rsidRPr="00366213">
                              <w:rPr>
                                <w:color w:val="000000"/>
                              </w:rPr>
                              <w:t>Similarly,</w:t>
                            </w:r>
                            <w:r w:rsidR="007020D7" w:rsidRPr="00366213">
                              <w:rPr>
                                <w:color w:val="000000"/>
                                <w:spacing w:val="-13"/>
                              </w:rPr>
                              <w:t xml:space="preserve"> </w:t>
                            </w:r>
                            <w:r w:rsidR="007020D7" w:rsidRPr="00366213">
                              <w:rPr>
                                <w:color w:val="000000"/>
                              </w:rPr>
                              <w:t>to</w:t>
                            </w:r>
                            <w:r w:rsidR="007020D7" w:rsidRPr="00366213">
                              <w:rPr>
                                <w:color w:val="000000"/>
                                <w:spacing w:val="-12"/>
                              </w:rPr>
                              <w:t xml:space="preserve"> </w:t>
                            </w:r>
                            <w:r w:rsidR="007020D7" w:rsidRPr="00366213">
                              <w:rPr>
                                <w:color w:val="000000"/>
                              </w:rPr>
                              <w:t>satisfy</w:t>
                            </w:r>
                            <w:r w:rsidR="007020D7" w:rsidRPr="00366213">
                              <w:rPr>
                                <w:color w:val="000000"/>
                                <w:spacing w:val="-13"/>
                              </w:rPr>
                              <w:t xml:space="preserve"> </w:t>
                            </w:r>
                            <w:r w:rsidR="007020D7" w:rsidRPr="00366213">
                              <w:rPr>
                                <w:color w:val="000000"/>
                              </w:rPr>
                              <w:t>Section</w:t>
                            </w:r>
                            <w:r w:rsidR="007020D7" w:rsidRPr="00366213">
                              <w:rPr>
                                <w:color w:val="000000"/>
                                <w:spacing w:val="-12"/>
                              </w:rPr>
                              <w:t xml:space="preserve"> </w:t>
                            </w:r>
                            <w:r w:rsidR="007020D7" w:rsidRPr="00366213">
                              <w:rPr>
                                <w:color w:val="000000"/>
                              </w:rPr>
                              <w:t>35(5)</w:t>
                            </w:r>
                            <w:r w:rsidR="007020D7" w:rsidRPr="00366213">
                              <w:rPr>
                                <w:color w:val="000000"/>
                                <w:spacing w:val="-13"/>
                              </w:rPr>
                              <w:t xml:space="preserve"> </w:t>
                            </w:r>
                            <w:r w:rsidR="007020D7" w:rsidRPr="00366213">
                              <w:rPr>
                                <w:color w:val="000000"/>
                              </w:rPr>
                              <w:t>DPA,</w:t>
                            </w:r>
                            <w:r w:rsidR="007020D7" w:rsidRPr="00366213">
                              <w:rPr>
                                <w:color w:val="000000"/>
                                <w:spacing w:val="-12"/>
                              </w:rPr>
                              <w:t xml:space="preserve"> </w:t>
                            </w:r>
                            <w:r w:rsidR="007020D7" w:rsidRPr="00366213">
                              <w:rPr>
                                <w:color w:val="000000"/>
                              </w:rPr>
                              <w:t>they</w:t>
                            </w:r>
                            <w:r w:rsidR="007020D7" w:rsidRPr="00366213">
                              <w:rPr>
                                <w:color w:val="000000"/>
                                <w:spacing w:val="-12"/>
                              </w:rPr>
                              <w:t xml:space="preserve"> </w:t>
                            </w:r>
                            <w:r w:rsidR="007020D7" w:rsidRPr="00366213">
                              <w:rPr>
                                <w:color w:val="000000"/>
                              </w:rPr>
                              <w:t>need</w:t>
                            </w:r>
                            <w:r w:rsidR="007020D7" w:rsidRPr="00366213">
                              <w:rPr>
                                <w:color w:val="000000"/>
                                <w:spacing w:val="-13"/>
                              </w:rPr>
                              <w:t xml:space="preserve"> </w:t>
                            </w:r>
                            <w:r w:rsidR="007020D7" w:rsidRPr="00366213">
                              <w:rPr>
                                <w:color w:val="000000"/>
                              </w:rPr>
                              <w:t>to</w:t>
                            </w:r>
                            <w:r w:rsidR="007020D7" w:rsidRPr="00366213">
                              <w:rPr>
                                <w:color w:val="000000"/>
                                <w:spacing w:val="-12"/>
                              </w:rPr>
                              <w:t xml:space="preserve"> </w:t>
                            </w:r>
                            <w:r w:rsidR="007020D7" w:rsidRPr="00366213">
                              <w:rPr>
                                <w:color w:val="000000"/>
                              </w:rPr>
                              <w:t>be</w:t>
                            </w:r>
                            <w:r w:rsidR="007020D7" w:rsidRPr="00366213">
                              <w:rPr>
                                <w:color w:val="000000"/>
                                <w:spacing w:val="-12"/>
                              </w:rPr>
                              <w:t xml:space="preserve"> </w:t>
                            </w:r>
                            <w:r w:rsidR="007020D7" w:rsidRPr="00366213">
                              <w:rPr>
                                <w:color w:val="000000"/>
                              </w:rPr>
                              <w:t>content</w:t>
                            </w:r>
                            <w:r w:rsidR="007020D7" w:rsidRPr="00366213">
                              <w:rPr>
                                <w:color w:val="000000"/>
                                <w:spacing w:val="-11"/>
                              </w:rPr>
                              <w:t xml:space="preserve"> </w:t>
                            </w:r>
                            <w:r w:rsidR="007020D7" w:rsidRPr="00366213">
                              <w:rPr>
                                <w:color w:val="000000"/>
                              </w:rPr>
                              <w:t>that</w:t>
                            </w:r>
                            <w:r w:rsidR="007020D7" w:rsidRPr="00366213">
                              <w:rPr>
                                <w:color w:val="000000"/>
                                <w:spacing w:val="-12"/>
                              </w:rPr>
                              <w:t xml:space="preserve"> </w:t>
                            </w:r>
                            <w:r w:rsidR="007020D7" w:rsidRPr="00366213">
                              <w:rPr>
                                <w:color w:val="000000"/>
                              </w:rPr>
                              <w:t>the</w:t>
                            </w:r>
                            <w:r w:rsidR="007020D7" w:rsidRPr="00366213">
                              <w:rPr>
                                <w:color w:val="000000"/>
                                <w:spacing w:val="-11"/>
                              </w:rPr>
                              <w:t xml:space="preserve"> </w:t>
                            </w:r>
                            <w:r w:rsidR="007020D7" w:rsidRPr="00366213">
                              <w:rPr>
                                <w:color w:val="000000"/>
                              </w:rPr>
                              <w:t>LFR</w:t>
                            </w:r>
                            <w:r w:rsidR="007020D7" w:rsidRPr="00366213">
                              <w:rPr>
                                <w:color w:val="000000"/>
                                <w:spacing w:val="-12"/>
                              </w:rPr>
                              <w:t xml:space="preserve"> </w:t>
                            </w:r>
                            <w:r w:rsidR="007020D7" w:rsidRPr="00366213">
                              <w:rPr>
                                <w:color w:val="000000"/>
                              </w:rPr>
                              <w:t xml:space="preserve">system’s processing of biometric data is </w:t>
                            </w:r>
                            <w:r w:rsidR="007020D7" w:rsidRPr="00366213">
                              <w:rPr>
                                <w:color w:val="000000"/>
                                <w:u w:val="single"/>
                              </w:rPr>
                              <w:t>strictly necessary</w:t>
                            </w:r>
                            <w:r w:rsidR="007020D7" w:rsidRPr="00366213">
                              <w:rPr>
                                <w:color w:val="000000"/>
                              </w:rPr>
                              <w:t xml:space="preserve"> for the law enforcement purpose. The law enforcement</w:t>
                            </w:r>
                            <w:r w:rsidR="007020D7" w:rsidRPr="00366213">
                              <w:rPr>
                                <w:color w:val="000000"/>
                                <w:spacing w:val="-5"/>
                              </w:rPr>
                              <w:t xml:space="preserve"> </w:t>
                            </w:r>
                            <w:r w:rsidR="007020D7" w:rsidRPr="00366213">
                              <w:rPr>
                                <w:color w:val="000000"/>
                              </w:rPr>
                              <w:t>purpose</w:t>
                            </w:r>
                            <w:r w:rsidR="007020D7" w:rsidRPr="00366213">
                              <w:rPr>
                                <w:color w:val="000000"/>
                                <w:spacing w:val="-5"/>
                              </w:rPr>
                              <w:t xml:space="preserve"> </w:t>
                            </w:r>
                            <w:r w:rsidR="007020D7" w:rsidRPr="00366213">
                              <w:rPr>
                                <w:color w:val="000000"/>
                              </w:rPr>
                              <w:t>should</w:t>
                            </w:r>
                            <w:r w:rsidR="007020D7" w:rsidRPr="00366213">
                              <w:rPr>
                                <w:color w:val="000000"/>
                                <w:spacing w:val="-4"/>
                              </w:rPr>
                              <w:t xml:space="preserve"> </w:t>
                            </w:r>
                            <w:r w:rsidR="007020D7" w:rsidRPr="00366213">
                              <w:rPr>
                                <w:color w:val="000000"/>
                              </w:rPr>
                              <w:t>be</w:t>
                            </w:r>
                            <w:r w:rsidR="007020D7" w:rsidRPr="00366213">
                              <w:rPr>
                                <w:color w:val="000000"/>
                                <w:spacing w:val="-5"/>
                              </w:rPr>
                              <w:t xml:space="preserve"> </w:t>
                            </w:r>
                            <w:r w:rsidR="007020D7" w:rsidRPr="00366213">
                              <w:rPr>
                                <w:color w:val="000000"/>
                              </w:rPr>
                              <w:t>clearly</w:t>
                            </w:r>
                            <w:r w:rsidR="007020D7" w:rsidRPr="00366213">
                              <w:rPr>
                                <w:color w:val="000000"/>
                                <w:spacing w:val="-2"/>
                              </w:rPr>
                              <w:t xml:space="preserve"> </w:t>
                            </w:r>
                            <w:r w:rsidR="007020D7" w:rsidRPr="00366213">
                              <w:rPr>
                                <w:color w:val="000000"/>
                              </w:rPr>
                              <w:t>identified</w:t>
                            </w:r>
                            <w:r w:rsidR="007020D7" w:rsidRPr="00366213">
                              <w:rPr>
                                <w:color w:val="000000"/>
                                <w:spacing w:val="-5"/>
                              </w:rPr>
                              <w:t xml:space="preserve"> </w:t>
                            </w:r>
                            <w:r w:rsidR="007020D7" w:rsidRPr="00366213">
                              <w:rPr>
                                <w:color w:val="000000"/>
                              </w:rPr>
                              <w:t>and</w:t>
                            </w:r>
                            <w:r w:rsidR="007020D7" w:rsidRPr="00366213">
                              <w:rPr>
                                <w:color w:val="000000"/>
                                <w:spacing w:val="-5"/>
                              </w:rPr>
                              <w:t xml:space="preserve"> </w:t>
                            </w:r>
                            <w:r w:rsidR="007020D7" w:rsidRPr="00366213">
                              <w:rPr>
                                <w:color w:val="000000"/>
                              </w:rPr>
                              <w:t>the</w:t>
                            </w:r>
                            <w:r w:rsidR="007020D7" w:rsidRPr="00366213">
                              <w:rPr>
                                <w:color w:val="000000"/>
                                <w:spacing w:val="-5"/>
                              </w:rPr>
                              <w:t xml:space="preserve"> </w:t>
                            </w:r>
                            <w:r w:rsidR="007020D7" w:rsidRPr="00366213">
                              <w:rPr>
                                <w:color w:val="000000"/>
                              </w:rPr>
                              <w:t>way</w:t>
                            </w:r>
                            <w:r w:rsidR="007020D7" w:rsidRPr="00366213">
                              <w:rPr>
                                <w:color w:val="000000"/>
                                <w:spacing w:val="-4"/>
                              </w:rPr>
                              <w:t xml:space="preserve"> </w:t>
                            </w:r>
                            <w:r w:rsidR="007020D7" w:rsidRPr="00366213">
                              <w:rPr>
                                <w:color w:val="000000"/>
                              </w:rPr>
                              <w:t>in</w:t>
                            </w:r>
                            <w:r w:rsidR="007020D7" w:rsidRPr="00366213">
                              <w:rPr>
                                <w:color w:val="000000"/>
                                <w:spacing w:val="-5"/>
                              </w:rPr>
                              <w:t xml:space="preserve"> </w:t>
                            </w:r>
                            <w:r w:rsidR="007020D7" w:rsidRPr="00366213">
                              <w:rPr>
                                <w:color w:val="000000"/>
                              </w:rPr>
                              <w:t>which</w:t>
                            </w:r>
                            <w:r w:rsidR="007020D7" w:rsidRPr="00366213">
                              <w:rPr>
                                <w:color w:val="000000"/>
                                <w:spacing w:val="-5"/>
                              </w:rPr>
                              <w:t xml:space="preserve"> </w:t>
                            </w:r>
                            <w:r w:rsidR="007020D7" w:rsidRPr="00366213">
                              <w:rPr>
                                <w:color w:val="000000"/>
                              </w:rPr>
                              <w:t>the</w:t>
                            </w:r>
                            <w:r w:rsidR="007020D7" w:rsidRPr="00366213">
                              <w:rPr>
                                <w:color w:val="000000"/>
                                <w:spacing w:val="-5"/>
                              </w:rPr>
                              <w:t xml:space="preserve"> </w:t>
                            </w:r>
                            <w:r w:rsidR="007020D7" w:rsidRPr="00366213">
                              <w:rPr>
                                <w:color w:val="000000"/>
                              </w:rPr>
                              <w:t>strictly</w:t>
                            </w:r>
                            <w:r w:rsidR="007020D7" w:rsidRPr="00366213">
                              <w:rPr>
                                <w:color w:val="000000"/>
                                <w:spacing w:val="-2"/>
                              </w:rPr>
                              <w:t xml:space="preserve"> </w:t>
                            </w:r>
                            <w:r w:rsidR="007020D7" w:rsidRPr="00366213">
                              <w:rPr>
                                <w:color w:val="000000"/>
                              </w:rPr>
                              <w:t>necessary standard has been met explained.</w:t>
                            </w:r>
                          </w:p>
                        </w:txbxContent>
                      </wps:txbx>
                      <wps:bodyPr wrap="square" lIns="0" tIns="0" rIns="0" bIns="0" rtlCol="0">
                        <a:noAutofit/>
                      </wps:bodyPr>
                    </wps:wsp>
                  </a:graphicData>
                </a:graphic>
                <wp14:sizeRelV relativeFrom="margin">
                  <wp14:pctHeight>0</wp14:pctHeight>
                </wp14:sizeRelV>
              </wp:anchor>
            </w:drawing>
          </mc:Choice>
          <mc:Fallback>
            <w:pict>
              <v:shape w14:anchorId="4B8CBC75" id="_x0000_s1040" type="#_x0000_t202" style="position:absolute;left:0;text-align:left;margin-left:0;margin-top:68.8pt;width:408.5pt;height:87pt;z-index:-251649536;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" filled="f" strokeweight=".16967mm">
                <v:path arrowok="t"/>
                <v:textbox inset="0,0,0,0">
                  <w:txbxContent>
                    <w:p w14:paraId="2173E9F5" w14:textId="26902576" w:rsidR="004C022B" w:rsidRPr="00366213" w:rsidRDefault="004C022B" w:rsidP="004C022B">
                      <w:pPr>
                        <w:pStyle w:val="BodyText"/>
                        <w:ind w:left="103" w:right="98"/>
                        <w:jc w:val="both"/>
                      </w:pPr>
                      <w:r w:rsidRPr="00366213">
                        <w:rPr>
                          <w:b/>
                        </w:rPr>
                        <w:t>Authorising Officers</w:t>
                      </w:r>
                      <w:r w:rsidRPr="00366213">
                        <w:t xml:space="preserve">: </w:t>
                      </w:r>
                      <w:r w:rsidR="007020D7" w:rsidRPr="00366213">
                        <w:rPr>
                          <w:color w:val="000000"/>
                        </w:rPr>
                        <w:t>Authorising Officers already need be satisfied of the necessity to use LFR</w:t>
                      </w:r>
                      <w:r w:rsidR="007020D7" w:rsidRPr="00366213">
                        <w:rPr>
                          <w:color w:val="000000"/>
                          <w:spacing w:val="-13"/>
                        </w:rPr>
                        <w:t xml:space="preserve"> </w:t>
                      </w:r>
                      <w:r w:rsidR="007020D7" w:rsidRPr="00366213">
                        <w:rPr>
                          <w:color w:val="000000"/>
                        </w:rPr>
                        <w:t>to</w:t>
                      </w:r>
                      <w:r w:rsidR="007020D7" w:rsidRPr="00366213">
                        <w:rPr>
                          <w:color w:val="000000"/>
                          <w:spacing w:val="-12"/>
                        </w:rPr>
                        <w:t xml:space="preserve"> </w:t>
                      </w:r>
                      <w:r w:rsidR="007020D7" w:rsidRPr="00366213">
                        <w:rPr>
                          <w:color w:val="000000"/>
                        </w:rPr>
                        <w:t>prevent</w:t>
                      </w:r>
                      <w:r w:rsidR="007020D7" w:rsidRPr="00366213">
                        <w:rPr>
                          <w:color w:val="000000"/>
                          <w:spacing w:val="-13"/>
                        </w:rPr>
                        <w:t xml:space="preserve"> </w:t>
                      </w:r>
                      <w:r w:rsidR="007020D7" w:rsidRPr="00366213">
                        <w:rPr>
                          <w:color w:val="000000"/>
                        </w:rPr>
                        <w:t>crime</w:t>
                      </w:r>
                      <w:r w:rsidR="007020D7" w:rsidRPr="00366213">
                        <w:rPr>
                          <w:color w:val="000000"/>
                          <w:spacing w:val="-12"/>
                        </w:rPr>
                        <w:t xml:space="preserve"> </w:t>
                      </w:r>
                      <w:r w:rsidR="007020D7" w:rsidRPr="00366213">
                        <w:rPr>
                          <w:color w:val="000000"/>
                        </w:rPr>
                        <w:t>and</w:t>
                      </w:r>
                      <w:r w:rsidR="007020D7" w:rsidRPr="00366213">
                        <w:rPr>
                          <w:color w:val="000000"/>
                          <w:spacing w:val="-13"/>
                        </w:rPr>
                        <w:t xml:space="preserve"> </w:t>
                      </w:r>
                      <w:r w:rsidR="007020D7" w:rsidRPr="00366213">
                        <w:rPr>
                          <w:color w:val="000000"/>
                        </w:rPr>
                        <w:t>disorder</w:t>
                      </w:r>
                      <w:r w:rsidR="007020D7" w:rsidRPr="00366213">
                        <w:rPr>
                          <w:color w:val="000000"/>
                          <w:spacing w:val="-12"/>
                        </w:rPr>
                        <w:t xml:space="preserve"> </w:t>
                      </w:r>
                      <w:r w:rsidR="007020D7" w:rsidRPr="00366213">
                        <w:rPr>
                          <w:color w:val="000000"/>
                        </w:rPr>
                        <w:t>and</w:t>
                      </w:r>
                      <w:r w:rsidR="007020D7" w:rsidRPr="00366213">
                        <w:rPr>
                          <w:color w:val="000000"/>
                          <w:spacing w:val="-13"/>
                        </w:rPr>
                        <w:t xml:space="preserve"> </w:t>
                      </w:r>
                      <w:r w:rsidR="007020D7" w:rsidRPr="00366213">
                        <w:rPr>
                          <w:color w:val="000000"/>
                        </w:rPr>
                        <w:t>ensure</w:t>
                      </w:r>
                      <w:r w:rsidR="007020D7" w:rsidRPr="00366213">
                        <w:rPr>
                          <w:color w:val="000000"/>
                          <w:spacing w:val="-12"/>
                        </w:rPr>
                        <w:t xml:space="preserve"> </w:t>
                      </w:r>
                      <w:r w:rsidR="007020D7" w:rsidRPr="00366213">
                        <w:rPr>
                          <w:color w:val="000000"/>
                        </w:rPr>
                        <w:t>public</w:t>
                      </w:r>
                      <w:r w:rsidR="007020D7" w:rsidRPr="00366213">
                        <w:rPr>
                          <w:color w:val="000000"/>
                          <w:spacing w:val="-12"/>
                        </w:rPr>
                        <w:t xml:space="preserve"> </w:t>
                      </w:r>
                      <w:r w:rsidR="007020D7" w:rsidRPr="00366213">
                        <w:rPr>
                          <w:color w:val="000000"/>
                        </w:rPr>
                        <w:t>safety</w:t>
                      </w:r>
                      <w:r w:rsidR="007020D7" w:rsidRPr="00366213">
                        <w:rPr>
                          <w:color w:val="000000"/>
                          <w:spacing w:val="-13"/>
                        </w:rPr>
                        <w:t xml:space="preserve"> </w:t>
                      </w:r>
                      <w:r w:rsidR="007020D7" w:rsidRPr="00366213">
                        <w:rPr>
                          <w:color w:val="000000"/>
                        </w:rPr>
                        <w:t>in</w:t>
                      </w:r>
                      <w:r w:rsidR="007020D7" w:rsidRPr="00366213">
                        <w:rPr>
                          <w:color w:val="000000"/>
                          <w:spacing w:val="-12"/>
                        </w:rPr>
                        <w:t xml:space="preserve"> </w:t>
                      </w:r>
                      <w:r w:rsidR="007020D7" w:rsidRPr="00366213">
                        <w:rPr>
                          <w:color w:val="000000"/>
                        </w:rPr>
                        <w:t>the</w:t>
                      </w:r>
                      <w:r w:rsidR="007020D7" w:rsidRPr="00366213">
                        <w:rPr>
                          <w:color w:val="000000"/>
                          <w:spacing w:val="-13"/>
                        </w:rPr>
                        <w:t xml:space="preserve"> </w:t>
                      </w:r>
                      <w:r w:rsidR="007020D7" w:rsidRPr="00366213">
                        <w:rPr>
                          <w:color w:val="000000"/>
                        </w:rPr>
                        <w:t>context</w:t>
                      </w:r>
                      <w:r w:rsidR="007020D7" w:rsidRPr="00366213">
                        <w:rPr>
                          <w:color w:val="000000"/>
                          <w:spacing w:val="-12"/>
                        </w:rPr>
                        <w:t xml:space="preserve"> </w:t>
                      </w:r>
                      <w:r w:rsidR="007020D7" w:rsidRPr="00366213">
                        <w:rPr>
                          <w:color w:val="000000"/>
                        </w:rPr>
                        <w:t>of</w:t>
                      </w:r>
                      <w:r w:rsidR="007020D7" w:rsidRPr="00366213">
                        <w:rPr>
                          <w:color w:val="000000"/>
                          <w:spacing w:val="-13"/>
                        </w:rPr>
                        <w:t xml:space="preserve"> </w:t>
                      </w:r>
                      <w:r w:rsidR="007020D7" w:rsidRPr="00366213">
                        <w:rPr>
                          <w:color w:val="000000"/>
                        </w:rPr>
                        <w:t>the</w:t>
                      </w:r>
                      <w:r w:rsidR="007020D7" w:rsidRPr="00366213">
                        <w:rPr>
                          <w:color w:val="000000"/>
                          <w:spacing w:val="-12"/>
                        </w:rPr>
                        <w:t xml:space="preserve"> </w:t>
                      </w:r>
                      <w:r w:rsidR="007020D7" w:rsidRPr="00366213">
                        <w:rPr>
                          <w:color w:val="000000"/>
                        </w:rPr>
                        <w:t>Human</w:t>
                      </w:r>
                      <w:r w:rsidR="007020D7" w:rsidRPr="00366213">
                        <w:rPr>
                          <w:color w:val="000000"/>
                          <w:spacing w:val="-12"/>
                        </w:rPr>
                        <w:t xml:space="preserve"> </w:t>
                      </w:r>
                      <w:r w:rsidR="007020D7" w:rsidRPr="00366213">
                        <w:rPr>
                          <w:color w:val="000000"/>
                        </w:rPr>
                        <w:t>Rights Act</w:t>
                      </w:r>
                      <w:r w:rsidR="007020D7" w:rsidRPr="00366213">
                        <w:rPr>
                          <w:color w:val="000000"/>
                          <w:spacing w:val="-13"/>
                        </w:rPr>
                        <w:t xml:space="preserve"> </w:t>
                      </w:r>
                      <w:r w:rsidR="007020D7" w:rsidRPr="00366213">
                        <w:rPr>
                          <w:color w:val="000000"/>
                        </w:rPr>
                        <w:t>1998.</w:t>
                      </w:r>
                      <w:r w:rsidR="007020D7" w:rsidRPr="00366213">
                        <w:rPr>
                          <w:color w:val="000000"/>
                          <w:spacing w:val="-12"/>
                        </w:rPr>
                        <w:t xml:space="preserve"> </w:t>
                      </w:r>
                      <w:r w:rsidR="007020D7" w:rsidRPr="00366213">
                        <w:rPr>
                          <w:color w:val="000000"/>
                        </w:rPr>
                        <w:t>Similarly,</w:t>
                      </w:r>
                      <w:r w:rsidR="007020D7" w:rsidRPr="00366213">
                        <w:rPr>
                          <w:color w:val="000000"/>
                          <w:spacing w:val="-13"/>
                        </w:rPr>
                        <w:t xml:space="preserve"> </w:t>
                      </w:r>
                      <w:r w:rsidR="007020D7" w:rsidRPr="00366213">
                        <w:rPr>
                          <w:color w:val="000000"/>
                        </w:rPr>
                        <w:t>to</w:t>
                      </w:r>
                      <w:r w:rsidR="007020D7" w:rsidRPr="00366213">
                        <w:rPr>
                          <w:color w:val="000000"/>
                          <w:spacing w:val="-12"/>
                        </w:rPr>
                        <w:t xml:space="preserve"> </w:t>
                      </w:r>
                      <w:r w:rsidR="007020D7" w:rsidRPr="00366213">
                        <w:rPr>
                          <w:color w:val="000000"/>
                        </w:rPr>
                        <w:t>satisfy</w:t>
                      </w:r>
                      <w:r w:rsidR="007020D7" w:rsidRPr="00366213">
                        <w:rPr>
                          <w:color w:val="000000"/>
                          <w:spacing w:val="-13"/>
                        </w:rPr>
                        <w:t xml:space="preserve"> </w:t>
                      </w:r>
                      <w:r w:rsidR="007020D7" w:rsidRPr="00366213">
                        <w:rPr>
                          <w:color w:val="000000"/>
                        </w:rPr>
                        <w:t>Section</w:t>
                      </w:r>
                      <w:r w:rsidR="007020D7" w:rsidRPr="00366213">
                        <w:rPr>
                          <w:color w:val="000000"/>
                          <w:spacing w:val="-12"/>
                        </w:rPr>
                        <w:t xml:space="preserve"> </w:t>
                      </w:r>
                      <w:r w:rsidR="007020D7" w:rsidRPr="00366213">
                        <w:rPr>
                          <w:color w:val="000000"/>
                        </w:rPr>
                        <w:t>35(5)</w:t>
                      </w:r>
                      <w:r w:rsidR="007020D7" w:rsidRPr="00366213">
                        <w:rPr>
                          <w:color w:val="000000"/>
                          <w:spacing w:val="-13"/>
                        </w:rPr>
                        <w:t xml:space="preserve"> </w:t>
                      </w:r>
                      <w:r w:rsidR="007020D7" w:rsidRPr="00366213">
                        <w:rPr>
                          <w:color w:val="000000"/>
                        </w:rPr>
                        <w:t>DPA,</w:t>
                      </w:r>
                      <w:r w:rsidR="007020D7" w:rsidRPr="00366213">
                        <w:rPr>
                          <w:color w:val="000000"/>
                          <w:spacing w:val="-12"/>
                        </w:rPr>
                        <w:t xml:space="preserve"> </w:t>
                      </w:r>
                      <w:r w:rsidR="007020D7" w:rsidRPr="00366213">
                        <w:rPr>
                          <w:color w:val="000000"/>
                        </w:rPr>
                        <w:t>they</w:t>
                      </w:r>
                      <w:r w:rsidR="007020D7" w:rsidRPr="00366213">
                        <w:rPr>
                          <w:color w:val="000000"/>
                          <w:spacing w:val="-12"/>
                        </w:rPr>
                        <w:t xml:space="preserve"> </w:t>
                      </w:r>
                      <w:r w:rsidR="007020D7" w:rsidRPr="00366213">
                        <w:rPr>
                          <w:color w:val="000000"/>
                        </w:rPr>
                        <w:t>need</w:t>
                      </w:r>
                      <w:r w:rsidR="007020D7" w:rsidRPr="00366213">
                        <w:rPr>
                          <w:color w:val="000000"/>
                          <w:spacing w:val="-13"/>
                        </w:rPr>
                        <w:t xml:space="preserve"> </w:t>
                      </w:r>
                      <w:r w:rsidR="007020D7" w:rsidRPr="00366213">
                        <w:rPr>
                          <w:color w:val="000000"/>
                        </w:rPr>
                        <w:t>to</w:t>
                      </w:r>
                      <w:r w:rsidR="007020D7" w:rsidRPr="00366213">
                        <w:rPr>
                          <w:color w:val="000000"/>
                          <w:spacing w:val="-12"/>
                        </w:rPr>
                        <w:t xml:space="preserve"> </w:t>
                      </w:r>
                      <w:r w:rsidR="007020D7" w:rsidRPr="00366213">
                        <w:rPr>
                          <w:color w:val="000000"/>
                        </w:rPr>
                        <w:t>be</w:t>
                      </w:r>
                      <w:r w:rsidR="007020D7" w:rsidRPr="00366213">
                        <w:rPr>
                          <w:color w:val="000000"/>
                          <w:spacing w:val="-12"/>
                        </w:rPr>
                        <w:t xml:space="preserve"> </w:t>
                      </w:r>
                      <w:r w:rsidR="007020D7" w:rsidRPr="00366213">
                        <w:rPr>
                          <w:color w:val="000000"/>
                        </w:rPr>
                        <w:t>content</w:t>
                      </w:r>
                      <w:r w:rsidR="007020D7" w:rsidRPr="00366213">
                        <w:rPr>
                          <w:color w:val="000000"/>
                          <w:spacing w:val="-11"/>
                        </w:rPr>
                        <w:t xml:space="preserve"> </w:t>
                      </w:r>
                      <w:r w:rsidR="007020D7" w:rsidRPr="00366213">
                        <w:rPr>
                          <w:color w:val="000000"/>
                        </w:rPr>
                        <w:t>that</w:t>
                      </w:r>
                      <w:r w:rsidR="007020D7" w:rsidRPr="00366213">
                        <w:rPr>
                          <w:color w:val="000000"/>
                          <w:spacing w:val="-12"/>
                        </w:rPr>
                        <w:t xml:space="preserve"> </w:t>
                      </w:r>
                      <w:r w:rsidR="007020D7" w:rsidRPr="00366213">
                        <w:rPr>
                          <w:color w:val="000000"/>
                        </w:rPr>
                        <w:t>the</w:t>
                      </w:r>
                      <w:r w:rsidR="007020D7" w:rsidRPr="00366213">
                        <w:rPr>
                          <w:color w:val="000000"/>
                          <w:spacing w:val="-11"/>
                        </w:rPr>
                        <w:t xml:space="preserve"> </w:t>
                      </w:r>
                      <w:r w:rsidR="007020D7" w:rsidRPr="00366213">
                        <w:rPr>
                          <w:color w:val="000000"/>
                        </w:rPr>
                        <w:t>LFR</w:t>
                      </w:r>
                      <w:r w:rsidR="007020D7" w:rsidRPr="00366213">
                        <w:rPr>
                          <w:color w:val="000000"/>
                          <w:spacing w:val="-12"/>
                        </w:rPr>
                        <w:t xml:space="preserve"> </w:t>
                      </w:r>
                      <w:r w:rsidR="007020D7" w:rsidRPr="00366213">
                        <w:rPr>
                          <w:color w:val="000000"/>
                        </w:rPr>
                        <w:t xml:space="preserve">system’s processing of biometric data is </w:t>
                      </w:r>
                      <w:r w:rsidR="007020D7" w:rsidRPr="00366213">
                        <w:rPr>
                          <w:color w:val="000000"/>
                          <w:u w:val="single"/>
                        </w:rPr>
                        <w:t>strictly necessary</w:t>
                      </w:r>
                      <w:r w:rsidR="007020D7" w:rsidRPr="00366213">
                        <w:rPr>
                          <w:color w:val="000000"/>
                        </w:rPr>
                        <w:t xml:space="preserve"> for the law enforcement purpose. The law enforcement</w:t>
                      </w:r>
                      <w:r w:rsidR="007020D7" w:rsidRPr="00366213">
                        <w:rPr>
                          <w:color w:val="000000"/>
                          <w:spacing w:val="-5"/>
                        </w:rPr>
                        <w:t xml:space="preserve"> </w:t>
                      </w:r>
                      <w:r w:rsidR="007020D7" w:rsidRPr="00366213">
                        <w:rPr>
                          <w:color w:val="000000"/>
                        </w:rPr>
                        <w:t>purpose</w:t>
                      </w:r>
                      <w:r w:rsidR="007020D7" w:rsidRPr="00366213">
                        <w:rPr>
                          <w:color w:val="000000"/>
                          <w:spacing w:val="-5"/>
                        </w:rPr>
                        <w:t xml:space="preserve"> </w:t>
                      </w:r>
                      <w:r w:rsidR="007020D7" w:rsidRPr="00366213">
                        <w:rPr>
                          <w:color w:val="000000"/>
                        </w:rPr>
                        <w:t>should</w:t>
                      </w:r>
                      <w:r w:rsidR="007020D7" w:rsidRPr="00366213">
                        <w:rPr>
                          <w:color w:val="000000"/>
                          <w:spacing w:val="-4"/>
                        </w:rPr>
                        <w:t xml:space="preserve"> </w:t>
                      </w:r>
                      <w:r w:rsidR="007020D7" w:rsidRPr="00366213">
                        <w:rPr>
                          <w:color w:val="000000"/>
                        </w:rPr>
                        <w:t>be</w:t>
                      </w:r>
                      <w:r w:rsidR="007020D7" w:rsidRPr="00366213">
                        <w:rPr>
                          <w:color w:val="000000"/>
                          <w:spacing w:val="-5"/>
                        </w:rPr>
                        <w:t xml:space="preserve"> </w:t>
                      </w:r>
                      <w:r w:rsidR="007020D7" w:rsidRPr="00366213">
                        <w:rPr>
                          <w:color w:val="000000"/>
                        </w:rPr>
                        <w:t>clearly</w:t>
                      </w:r>
                      <w:r w:rsidR="007020D7" w:rsidRPr="00366213">
                        <w:rPr>
                          <w:color w:val="000000"/>
                          <w:spacing w:val="-2"/>
                        </w:rPr>
                        <w:t xml:space="preserve"> </w:t>
                      </w:r>
                      <w:r w:rsidR="007020D7" w:rsidRPr="00366213">
                        <w:rPr>
                          <w:color w:val="000000"/>
                        </w:rPr>
                        <w:t>identified</w:t>
                      </w:r>
                      <w:r w:rsidR="007020D7" w:rsidRPr="00366213">
                        <w:rPr>
                          <w:color w:val="000000"/>
                          <w:spacing w:val="-5"/>
                        </w:rPr>
                        <w:t xml:space="preserve"> </w:t>
                      </w:r>
                      <w:r w:rsidR="007020D7" w:rsidRPr="00366213">
                        <w:rPr>
                          <w:color w:val="000000"/>
                        </w:rPr>
                        <w:t>and</w:t>
                      </w:r>
                      <w:r w:rsidR="007020D7" w:rsidRPr="00366213">
                        <w:rPr>
                          <w:color w:val="000000"/>
                          <w:spacing w:val="-5"/>
                        </w:rPr>
                        <w:t xml:space="preserve"> </w:t>
                      </w:r>
                      <w:r w:rsidR="007020D7" w:rsidRPr="00366213">
                        <w:rPr>
                          <w:color w:val="000000"/>
                        </w:rPr>
                        <w:t>the</w:t>
                      </w:r>
                      <w:r w:rsidR="007020D7" w:rsidRPr="00366213">
                        <w:rPr>
                          <w:color w:val="000000"/>
                          <w:spacing w:val="-5"/>
                        </w:rPr>
                        <w:t xml:space="preserve"> </w:t>
                      </w:r>
                      <w:r w:rsidR="007020D7" w:rsidRPr="00366213">
                        <w:rPr>
                          <w:color w:val="000000"/>
                        </w:rPr>
                        <w:t>way</w:t>
                      </w:r>
                      <w:r w:rsidR="007020D7" w:rsidRPr="00366213">
                        <w:rPr>
                          <w:color w:val="000000"/>
                          <w:spacing w:val="-4"/>
                        </w:rPr>
                        <w:t xml:space="preserve"> </w:t>
                      </w:r>
                      <w:r w:rsidR="007020D7" w:rsidRPr="00366213">
                        <w:rPr>
                          <w:color w:val="000000"/>
                        </w:rPr>
                        <w:t>in</w:t>
                      </w:r>
                      <w:r w:rsidR="007020D7" w:rsidRPr="00366213">
                        <w:rPr>
                          <w:color w:val="000000"/>
                          <w:spacing w:val="-5"/>
                        </w:rPr>
                        <w:t xml:space="preserve"> </w:t>
                      </w:r>
                      <w:r w:rsidR="007020D7" w:rsidRPr="00366213">
                        <w:rPr>
                          <w:color w:val="000000"/>
                        </w:rPr>
                        <w:t>which</w:t>
                      </w:r>
                      <w:r w:rsidR="007020D7" w:rsidRPr="00366213">
                        <w:rPr>
                          <w:color w:val="000000"/>
                          <w:spacing w:val="-5"/>
                        </w:rPr>
                        <w:t xml:space="preserve"> </w:t>
                      </w:r>
                      <w:r w:rsidR="007020D7" w:rsidRPr="00366213">
                        <w:rPr>
                          <w:color w:val="000000"/>
                        </w:rPr>
                        <w:t>the</w:t>
                      </w:r>
                      <w:r w:rsidR="007020D7" w:rsidRPr="00366213">
                        <w:rPr>
                          <w:color w:val="000000"/>
                          <w:spacing w:val="-5"/>
                        </w:rPr>
                        <w:t xml:space="preserve"> </w:t>
                      </w:r>
                      <w:r w:rsidR="007020D7" w:rsidRPr="00366213">
                        <w:rPr>
                          <w:color w:val="000000"/>
                        </w:rPr>
                        <w:t>strictly</w:t>
                      </w:r>
                      <w:r w:rsidR="007020D7" w:rsidRPr="00366213">
                        <w:rPr>
                          <w:color w:val="000000"/>
                          <w:spacing w:val="-2"/>
                        </w:rPr>
                        <w:t xml:space="preserve"> </w:t>
                      </w:r>
                      <w:r w:rsidR="007020D7" w:rsidRPr="00366213">
                        <w:rPr>
                          <w:color w:val="000000"/>
                        </w:rPr>
                        <w:t>necessary standard has been met explained.</w:t>
                      </w:r>
                    </w:p>
                  </w:txbxContent>
                </v:textbox>
                <w10:wrap type="topAndBottom" anchorx="margin"/>
              </v:shape>
            </w:pict>
          </mc:Fallback>
        </mc:AlternateContent>
      </w:r>
      <w:r w:rsidR="00AD1206">
        <w:t>“the prevention, investigation, detection or prosecution of criminal offences or the execution of criminal penalties, including the safeguarding against and the prevention of threats to public security.”</w:t>
      </w:r>
    </w:p>
    <w:p w14:paraId="503430C8" w14:textId="77777777" w:rsidR="007020D7" w:rsidRDefault="007020D7" w:rsidP="00AD1206">
      <w:pPr>
        <w:pStyle w:val="ListParagraph"/>
      </w:pPr>
    </w:p>
    <w:p w14:paraId="6CF5BFE8" w14:textId="130A921C" w:rsidR="000D5748" w:rsidRDefault="000D5748" w:rsidP="000D5748">
      <w:pPr>
        <w:pStyle w:val="ListParagraph"/>
      </w:pPr>
      <w:r>
        <w:lastRenderedPageBreak/>
        <w:t>Processing must relate to a pressing social need and cannot reasonably be achieved through less intrusive means. Personal data collected via LFR is used solely for law enforcement purposes.</w:t>
      </w:r>
    </w:p>
    <w:p w14:paraId="3FEA1A95" w14:textId="77777777" w:rsidR="000D5748" w:rsidRDefault="000D5748" w:rsidP="000D5748">
      <w:pPr>
        <w:pStyle w:val="ListParagraph"/>
      </w:pPr>
    </w:p>
    <w:p w14:paraId="0C6855B4" w14:textId="2CB093B6" w:rsidR="000D5748" w:rsidRDefault="000D5748" w:rsidP="000D5748">
      <w:pPr>
        <w:pStyle w:val="ListParagraph"/>
      </w:pPr>
      <w:r>
        <w:t>Authorising Officers should consider:</w:t>
      </w:r>
    </w:p>
    <w:p w14:paraId="19AC97FC" w14:textId="77777777" w:rsidR="000D5748" w:rsidRDefault="000D5748" w:rsidP="000D5748">
      <w:pPr>
        <w:pStyle w:val="ListParagraph"/>
        <w:numPr>
          <w:ilvl w:val="0"/>
          <w:numId w:val="37"/>
        </w:numPr>
      </w:pPr>
      <w:r>
        <w:t>Alternative policing methods used or discounted;</w:t>
      </w:r>
    </w:p>
    <w:p w14:paraId="0D4F5DDD" w14:textId="77777777" w:rsidR="000D5748" w:rsidRDefault="000D5748" w:rsidP="000D5748">
      <w:pPr>
        <w:pStyle w:val="ListParagraph"/>
        <w:numPr>
          <w:ilvl w:val="0"/>
          <w:numId w:val="37"/>
        </w:numPr>
      </w:pPr>
      <w:r>
        <w:t>Importance and likelihood of achieving the law enforcement purpose through LFR deployment (e.g., intelligence-led operations);</w:t>
      </w:r>
    </w:p>
    <w:p w14:paraId="38D0AD6B" w14:textId="77777777" w:rsidR="000D5748" w:rsidRDefault="000D5748" w:rsidP="000D5748">
      <w:pPr>
        <w:pStyle w:val="ListParagraph"/>
        <w:numPr>
          <w:ilvl w:val="0"/>
          <w:numId w:val="37"/>
        </w:numPr>
      </w:pPr>
      <w:r>
        <w:t>Size and scale of deployment, Watchlist scope, and level of sensitive processing;</w:t>
      </w:r>
    </w:p>
    <w:p w14:paraId="14B193AF" w14:textId="34FEAC5E" w:rsidR="007020D7" w:rsidRDefault="00352013" w:rsidP="000D5748">
      <w:pPr>
        <w:pStyle w:val="ListParagraph"/>
        <w:numPr>
          <w:ilvl w:val="0"/>
          <w:numId w:val="37"/>
        </w:numPr>
      </w:pPr>
      <w:r w:rsidRPr="00366213">
        <w:rPr>
          <w:rFonts w:ascii="Arial" w:hAnsi="Arial" w:cs="Arial"/>
          <w:noProof/>
          <w:sz w:val="20"/>
        </w:rPr>
        <mc:AlternateContent>
          <mc:Choice Requires="wps">
            <w:drawing>
              <wp:anchor distT="0" distB="0" distL="0" distR="0" simplePos="0" relativeHeight="251667968" behindDoc="1" locked="0" layoutInCell="1" allowOverlap="1" wp14:anchorId="080A9E8C" wp14:editId="56DBC260">
                <wp:simplePos x="0" y="0"/>
                <wp:positionH relativeFrom="margin">
                  <wp:posOffset>352425</wp:posOffset>
                </wp:positionH>
                <wp:positionV relativeFrom="paragraph">
                  <wp:posOffset>714375</wp:posOffset>
                </wp:positionV>
                <wp:extent cx="5187950" cy="581025"/>
                <wp:effectExtent l="0" t="0" r="12700" b="28575"/>
                <wp:wrapTopAndBottom/>
                <wp:docPr id="1739587228"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0" cy="581025"/>
                        </a:xfrm>
                        <a:prstGeom prst="rect">
                          <a:avLst/>
                        </a:prstGeom>
                        <a:ln w="6108">
                          <a:solidFill>
                            <a:srgbClr val="000000"/>
                          </a:solidFill>
                          <a:prstDash val="solid"/>
                        </a:ln>
                      </wps:spPr>
                      <wps:txbx>
                        <w:txbxContent>
                          <w:p w14:paraId="46A1A3E1" w14:textId="6F1B8730" w:rsidR="00352013" w:rsidRPr="00366213" w:rsidRDefault="00352013" w:rsidP="00352013">
                            <w:pPr>
                              <w:pStyle w:val="BodyText"/>
                              <w:ind w:left="103" w:right="98"/>
                              <w:jc w:val="center"/>
                            </w:pPr>
                            <w:r w:rsidRPr="00366213">
                              <w:rPr>
                                <w:b/>
                              </w:rPr>
                              <w:t>Authorising Officers</w:t>
                            </w:r>
                            <w:r w:rsidRPr="00366213">
                              <w:t xml:space="preserve">: </w:t>
                            </w:r>
                            <w:r w:rsidR="00ED00CF" w:rsidRPr="00ED00CF">
                              <w:rPr>
                                <w:color w:val="000000"/>
                              </w:rPr>
                              <w:t xml:space="preserve">Authorising Officers need to be satisfied that the processing </w:t>
                            </w:r>
                            <w:r w:rsidR="00ED00CF" w:rsidRPr="00ED00CF">
                              <w:rPr>
                                <w:color w:val="000000"/>
                                <w:u w:val="single"/>
                              </w:rPr>
                              <w:t>satisfies</w:t>
                            </w:r>
                            <w:r w:rsidR="00ED00CF" w:rsidRPr="00ED00CF">
                              <w:rPr>
                                <w:color w:val="000000"/>
                              </w:rPr>
                              <w:t xml:space="preserve"> </w:t>
                            </w:r>
                            <w:r w:rsidR="00ED00CF" w:rsidRPr="00ED00CF">
                              <w:rPr>
                                <w:color w:val="000000"/>
                                <w:u w:val="single"/>
                              </w:rPr>
                              <w:t>one of the Schedule 8 conditions</w:t>
                            </w:r>
                            <w:r w:rsidR="00ED00CF" w:rsidRPr="00ED00CF">
                              <w:rPr>
                                <w:color w:val="000000"/>
                              </w:rPr>
                              <w:t xml:space="preserve"> set out below and complies with the six data protection principles.</w:t>
                            </w:r>
                          </w:p>
                        </w:txbxContent>
                      </wps:txbx>
                      <wps:bodyPr wrap="square" lIns="0" tIns="0" rIns="0" bIns="0" rtlCol="0">
                        <a:noAutofit/>
                      </wps:bodyPr>
                    </wps:wsp>
                  </a:graphicData>
                </a:graphic>
                <wp14:sizeRelV relativeFrom="margin">
                  <wp14:pctHeight>0</wp14:pctHeight>
                </wp14:sizeRelV>
              </wp:anchor>
            </w:drawing>
          </mc:Choice>
          <mc:Fallback>
            <w:pict>
              <v:shape w14:anchorId="080A9E8C" id="_x0000_s1041" type="#_x0000_t202" style="position:absolute;left:0;text-align:left;margin-left:27.75pt;margin-top:56.25pt;width:408.5pt;height:45.75pt;z-index:-251648512;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" filled="f" strokeweight=".16967mm">
                <v:path arrowok="t"/>
                <v:textbox inset="0,0,0,0">
                  <w:txbxContent>
                    <w:p w14:paraId="46A1A3E1" w14:textId="6F1B8730" w:rsidR="00352013" w:rsidRPr="00366213" w:rsidRDefault="00352013" w:rsidP="00352013">
                      <w:pPr>
                        <w:pStyle w:val="BodyText"/>
                        <w:ind w:left="103" w:right="98"/>
                        <w:jc w:val="center"/>
                      </w:pPr>
                      <w:r w:rsidRPr="00366213">
                        <w:rPr>
                          <w:b/>
                        </w:rPr>
                        <w:t>Authorising Officers</w:t>
                      </w:r>
                      <w:r w:rsidRPr="00366213">
                        <w:t xml:space="preserve">: </w:t>
                      </w:r>
                      <w:r w:rsidR="00ED00CF" w:rsidRPr="00ED00CF">
                        <w:rPr>
                          <w:color w:val="000000"/>
                        </w:rPr>
                        <w:t xml:space="preserve">Authorising Officers need to be satisfied that the processing </w:t>
                      </w:r>
                      <w:r w:rsidR="00ED00CF" w:rsidRPr="00ED00CF">
                        <w:rPr>
                          <w:color w:val="000000"/>
                          <w:u w:val="single"/>
                        </w:rPr>
                        <w:t>satisfies</w:t>
                      </w:r>
                      <w:r w:rsidR="00ED00CF" w:rsidRPr="00ED00CF">
                        <w:rPr>
                          <w:color w:val="000000"/>
                        </w:rPr>
                        <w:t xml:space="preserve"> </w:t>
                      </w:r>
                      <w:r w:rsidR="00ED00CF" w:rsidRPr="00ED00CF">
                        <w:rPr>
                          <w:color w:val="000000"/>
                          <w:u w:val="single"/>
                        </w:rPr>
                        <w:t>one of the Schedule 8 conditions</w:t>
                      </w:r>
                      <w:r w:rsidR="00ED00CF" w:rsidRPr="00ED00CF">
                        <w:rPr>
                          <w:color w:val="000000"/>
                        </w:rPr>
                        <w:t xml:space="preserve"> set out below and complies with the six data protection principles.</w:t>
                      </w:r>
                    </w:p>
                  </w:txbxContent>
                </v:textbox>
                <w10:wrap type="topAndBottom" anchorx="margin"/>
              </v:shape>
            </w:pict>
          </mc:Fallback>
        </mc:AlternateContent>
      </w:r>
      <w:r w:rsidR="000D5748">
        <w:t>Whether the law enforcement purpose justifies sensitive processing and associated risks, subject to safeguards.</w:t>
      </w:r>
    </w:p>
    <w:p w14:paraId="65D0D2BA" w14:textId="120716B4" w:rsidR="00AD1206" w:rsidRDefault="00AD1206" w:rsidP="00AD1206"/>
    <w:p w14:paraId="2E1C482C" w14:textId="77777777" w:rsidR="00180A62" w:rsidRDefault="00180A62" w:rsidP="007B323D">
      <w:pPr>
        <w:pStyle w:val="ListParagraph"/>
        <w:numPr>
          <w:ilvl w:val="1"/>
          <w:numId w:val="1"/>
        </w:numPr>
      </w:pPr>
      <w:r>
        <w:t>The processing of sensitive personal data for LFR engages Schedule 8 conditions under the DPA, including where processing is:</w:t>
      </w:r>
    </w:p>
    <w:p w14:paraId="6270862D" w14:textId="77777777" w:rsidR="00180A62" w:rsidRDefault="00180A62" w:rsidP="00C05395">
      <w:pPr>
        <w:pStyle w:val="ListParagraph"/>
        <w:numPr>
          <w:ilvl w:val="0"/>
          <w:numId w:val="38"/>
        </w:numPr>
      </w:pPr>
      <w:r>
        <w:t>Necessary for judicial and statutory purposes – for reasons of substantial public interest;</w:t>
      </w:r>
    </w:p>
    <w:p w14:paraId="18719B5A" w14:textId="77777777" w:rsidR="00180A62" w:rsidRDefault="00180A62" w:rsidP="00EC08CF">
      <w:pPr>
        <w:pStyle w:val="ListParagraph"/>
        <w:numPr>
          <w:ilvl w:val="0"/>
          <w:numId w:val="38"/>
        </w:numPr>
      </w:pPr>
      <w:r>
        <w:t>Necessary for the administration of justice;</w:t>
      </w:r>
    </w:p>
    <w:p w14:paraId="35DC4204" w14:textId="77777777" w:rsidR="00180A62" w:rsidRDefault="00180A62" w:rsidP="00D951C0">
      <w:pPr>
        <w:pStyle w:val="ListParagraph"/>
        <w:numPr>
          <w:ilvl w:val="0"/>
          <w:numId w:val="38"/>
        </w:numPr>
      </w:pPr>
      <w:r>
        <w:t>Necessary to protect the vital interests of the data subject or another individual;</w:t>
      </w:r>
    </w:p>
    <w:p w14:paraId="04820187" w14:textId="77777777" w:rsidR="00180A62" w:rsidRDefault="00180A62" w:rsidP="00AD2E0A">
      <w:pPr>
        <w:pStyle w:val="ListParagraph"/>
        <w:numPr>
          <w:ilvl w:val="0"/>
          <w:numId w:val="38"/>
        </w:numPr>
      </w:pPr>
      <w:r>
        <w:t>Necessary for safeguarding children and individuals at risk; and</w:t>
      </w:r>
    </w:p>
    <w:p w14:paraId="2E5B54E9" w14:textId="60CF1C6A" w:rsidR="00ED00CF" w:rsidRDefault="00180A62" w:rsidP="00AD2E0A">
      <w:pPr>
        <w:pStyle w:val="ListParagraph"/>
        <w:numPr>
          <w:ilvl w:val="0"/>
          <w:numId w:val="38"/>
        </w:numPr>
      </w:pPr>
      <w:r>
        <w:t>Necessary for the prevention of fraud.</w:t>
      </w:r>
    </w:p>
    <w:p w14:paraId="67910367" w14:textId="46B045FF" w:rsidR="00105B45" w:rsidRDefault="00105B45" w:rsidP="00105B45"/>
    <w:p w14:paraId="30462CC7" w14:textId="208CEA67" w:rsidR="00105B45" w:rsidRDefault="00356A3F" w:rsidP="00356A3F">
      <w:pPr>
        <w:pStyle w:val="ListParagraph"/>
        <w:numPr>
          <w:ilvl w:val="1"/>
          <w:numId w:val="1"/>
        </w:numPr>
      </w:pPr>
      <w:r w:rsidRPr="00356A3F">
        <w:t>Hertfordshire Constabulary has implemented measures identified through its Data Protection Impact Assessment (DPIA) to manage and mitigate risks associated with personal data processing via the LFR system. Specific actions and safeguards are detailed in the following sections.</w:t>
      </w:r>
    </w:p>
    <w:p w14:paraId="4D228195" w14:textId="52A17577" w:rsidR="00DF4B83" w:rsidRDefault="00DF4B83" w:rsidP="00DF4B83"/>
    <w:p w14:paraId="0EBAFAE1" w14:textId="77777777" w:rsidR="007940F1" w:rsidRPr="007940F1" w:rsidRDefault="007940F1" w:rsidP="005F5590">
      <w:pPr>
        <w:pStyle w:val="ListParagraph"/>
        <w:numPr>
          <w:ilvl w:val="1"/>
          <w:numId w:val="1"/>
        </w:numPr>
        <w:rPr>
          <w:i/>
          <w:iCs/>
        </w:rPr>
      </w:pPr>
      <w:r w:rsidRPr="007940F1">
        <w:rPr>
          <w:i/>
          <w:iCs/>
          <w:u w:val="single"/>
        </w:rPr>
        <w:t>Data Protection Impact Assessment:</w:t>
      </w:r>
    </w:p>
    <w:p w14:paraId="363747C8" w14:textId="77777777" w:rsidR="007940F1" w:rsidRDefault="007940F1" w:rsidP="007940F1">
      <w:pPr>
        <w:pStyle w:val="ListParagraph"/>
      </w:pPr>
    </w:p>
    <w:p w14:paraId="57DE9E44" w14:textId="5308ABFD" w:rsidR="005F5590" w:rsidRDefault="005F5590" w:rsidP="007940F1">
      <w:pPr>
        <w:pStyle w:val="ListParagraph"/>
      </w:pPr>
      <w:r>
        <w:t>A DPIA has been conducted to identify and minimise data protection risks associated with LFR. The DPIA will be kept under continuous review and updated at least annually.</w:t>
      </w:r>
    </w:p>
    <w:p w14:paraId="126A87EC" w14:textId="77777777" w:rsidR="005F5590" w:rsidRDefault="005F5590" w:rsidP="005F5590">
      <w:pPr>
        <w:pStyle w:val="ListParagraph"/>
      </w:pPr>
    </w:p>
    <w:p w14:paraId="30E63EC4" w14:textId="77777777" w:rsidR="005F5590" w:rsidRDefault="005F5590" w:rsidP="005F5590">
      <w:pPr>
        <w:pStyle w:val="ListParagraph"/>
      </w:pPr>
      <w:r>
        <w:lastRenderedPageBreak/>
        <w:t>Authorising Officers must ensure a sufficient DPIA is in place for each deployment, considering:</w:t>
      </w:r>
    </w:p>
    <w:p w14:paraId="3CA1A373" w14:textId="77777777" w:rsidR="00A5346C" w:rsidRDefault="005F5590" w:rsidP="005F5590">
      <w:pPr>
        <w:pStyle w:val="ListParagraph"/>
        <w:numPr>
          <w:ilvl w:val="0"/>
          <w:numId w:val="39"/>
        </w:numPr>
      </w:pPr>
      <w:r>
        <w:t>Whether the identified risks and controls remain current and adequate; an</w:t>
      </w:r>
      <w:r w:rsidR="00A5346C">
        <w:t>d</w:t>
      </w:r>
    </w:p>
    <w:p w14:paraId="018DBAEF" w14:textId="020323F3" w:rsidR="001C2E03" w:rsidRDefault="005F5590" w:rsidP="001C2E03">
      <w:pPr>
        <w:pStyle w:val="ListParagraph"/>
        <w:numPr>
          <w:ilvl w:val="0"/>
          <w:numId w:val="39"/>
        </w:numPr>
      </w:pPr>
      <w:r>
        <w:t>Whether the planned use of LFR introduces additional risks that require further mitigation beyond those in the DPIA.</w:t>
      </w:r>
    </w:p>
    <w:p w14:paraId="3B3BF634" w14:textId="77777777" w:rsidR="00E33B42" w:rsidRDefault="00E33B42" w:rsidP="00E33B42">
      <w:pPr>
        <w:ind w:left="720"/>
      </w:pPr>
    </w:p>
    <w:p w14:paraId="3036DBE7" w14:textId="77777777" w:rsidR="007940F1" w:rsidRPr="00C952D0" w:rsidRDefault="007940F1" w:rsidP="00E33B42">
      <w:pPr>
        <w:pStyle w:val="ListParagraph"/>
        <w:numPr>
          <w:ilvl w:val="1"/>
          <w:numId w:val="1"/>
        </w:numPr>
        <w:rPr>
          <w:i/>
          <w:iCs/>
        </w:rPr>
      </w:pPr>
      <w:r w:rsidRPr="00C952D0">
        <w:rPr>
          <w:i/>
          <w:iCs/>
          <w:u w:val="single"/>
        </w:rPr>
        <w:t>Data Protection by Design:</w:t>
      </w:r>
    </w:p>
    <w:p w14:paraId="459929AA" w14:textId="77777777" w:rsidR="00C952D0" w:rsidRDefault="00C952D0" w:rsidP="007940F1">
      <w:pPr>
        <w:pStyle w:val="ListParagraph"/>
        <w:rPr>
          <w:u w:val="single"/>
        </w:rPr>
      </w:pPr>
    </w:p>
    <w:p w14:paraId="4B152556" w14:textId="29A54D74" w:rsidR="001C2E03" w:rsidRDefault="00E33B42" w:rsidP="007940F1">
      <w:pPr>
        <w:pStyle w:val="ListParagraph"/>
      </w:pPr>
      <w:r w:rsidRPr="00E33B42">
        <w:t>Hertfordshire Constabulary has embedded data protection by design into the LFR system to comply with Part 3 of the DPA and minimise privacy impacts. Measures include:</w:t>
      </w:r>
    </w:p>
    <w:p w14:paraId="20FFEA3B" w14:textId="77777777" w:rsidR="00E33B42" w:rsidRDefault="00E33B42" w:rsidP="00E33B42">
      <w:pPr>
        <w:pStyle w:val="ListParagraph"/>
        <w:numPr>
          <w:ilvl w:val="0"/>
          <w:numId w:val="40"/>
        </w:numPr>
      </w:pPr>
      <w:r>
        <w:t>Limiting personal data collected, processed, and stored;</w:t>
      </w:r>
    </w:p>
    <w:p w14:paraId="14C98F63" w14:textId="77777777" w:rsidR="00E33B42" w:rsidRDefault="00E33B42" w:rsidP="00E33B42">
      <w:pPr>
        <w:pStyle w:val="ListParagraph"/>
        <w:numPr>
          <w:ilvl w:val="0"/>
          <w:numId w:val="40"/>
        </w:numPr>
      </w:pPr>
      <w:r>
        <w:t>Restricting retention periods;</w:t>
      </w:r>
    </w:p>
    <w:p w14:paraId="60A8ED59" w14:textId="138E740D" w:rsidR="00E33B42" w:rsidRDefault="00E33B42" w:rsidP="00E33B42">
      <w:pPr>
        <w:pStyle w:val="ListParagraph"/>
        <w:numPr>
          <w:ilvl w:val="0"/>
          <w:numId w:val="40"/>
        </w:numPr>
      </w:pPr>
      <w:r>
        <w:t>Ensuring statistical accuracy and fairness by design, supported by published LFR Documents and independent evaluations.</w:t>
      </w:r>
    </w:p>
    <w:p w14:paraId="63E18DEE" w14:textId="77777777" w:rsidR="00B778C3" w:rsidRDefault="00B778C3" w:rsidP="00B778C3">
      <w:pPr>
        <w:pStyle w:val="ListParagraph"/>
        <w:ind w:left="1440"/>
      </w:pPr>
    </w:p>
    <w:p w14:paraId="24EFBC26" w14:textId="77777777" w:rsidR="00B778C3" w:rsidRDefault="00B778C3" w:rsidP="00B778C3">
      <w:pPr>
        <w:pStyle w:val="ListParagraph"/>
      </w:pPr>
      <w:r>
        <w:t>Access to retained data (within the 31-day limit) is strictly controlled through technical and organisational safeguards, including:</w:t>
      </w:r>
    </w:p>
    <w:p w14:paraId="38AB2F25" w14:textId="77777777" w:rsidR="00B778C3" w:rsidRDefault="00B778C3" w:rsidP="00B778C3">
      <w:pPr>
        <w:pStyle w:val="ListParagraph"/>
        <w:numPr>
          <w:ilvl w:val="0"/>
          <w:numId w:val="41"/>
        </w:numPr>
      </w:pPr>
      <w:r>
        <w:t>Encrypted Transfers – Images transferred via AES-CBC 256-bit encrypted USB with password protection;</w:t>
      </w:r>
    </w:p>
    <w:p w14:paraId="533FE548" w14:textId="77777777" w:rsidR="00B778C3" w:rsidRDefault="00B778C3" w:rsidP="00A05D3F">
      <w:pPr>
        <w:pStyle w:val="ListParagraph"/>
        <w:numPr>
          <w:ilvl w:val="0"/>
          <w:numId w:val="41"/>
        </w:numPr>
      </w:pPr>
      <w:r>
        <w:t>Closed System Architecture – Two-layer password protection, physical security, and secure wiping post-deployment;</w:t>
      </w:r>
    </w:p>
    <w:p w14:paraId="0B63BCD7" w14:textId="77777777" w:rsidR="00B778C3" w:rsidRDefault="00B778C3" w:rsidP="008A53DB">
      <w:pPr>
        <w:pStyle w:val="ListParagraph"/>
        <w:numPr>
          <w:ilvl w:val="0"/>
          <w:numId w:val="41"/>
        </w:numPr>
      </w:pPr>
      <w:r>
        <w:t>Role-Based Access Controls – Limited user permissions;</w:t>
      </w:r>
    </w:p>
    <w:p w14:paraId="436ECD21" w14:textId="77777777" w:rsidR="00B778C3" w:rsidRDefault="00B778C3" w:rsidP="0025767D">
      <w:pPr>
        <w:pStyle w:val="ListParagraph"/>
        <w:numPr>
          <w:ilvl w:val="0"/>
          <w:numId w:val="41"/>
        </w:numPr>
      </w:pPr>
      <w:r>
        <w:t>Secure Connectivity – Private access point with IP restrictions, password protection, SSL/TLS encryption, and HTTPS routing;</w:t>
      </w:r>
    </w:p>
    <w:p w14:paraId="28F70DED" w14:textId="77777777" w:rsidR="00B778C3" w:rsidRDefault="00B778C3" w:rsidP="00EF7565">
      <w:pPr>
        <w:pStyle w:val="ListParagraph"/>
        <w:numPr>
          <w:ilvl w:val="0"/>
          <w:numId w:val="41"/>
        </w:numPr>
      </w:pPr>
      <w:r>
        <w:t>Audit Logging – Full audit of all user actions during deployment;</w:t>
      </w:r>
    </w:p>
    <w:p w14:paraId="3BAE6654" w14:textId="2D54CADB" w:rsidR="00B778C3" w:rsidRDefault="00B778C3" w:rsidP="00EF7565">
      <w:pPr>
        <w:pStyle w:val="ListParagraph"/>
        <w:numPr>
          <w:ilvl w:val="0"/>
          <w:numId w:val="41"/>
        </w:numPr>
      </w:pPr>
      <w:r>
        <w:t>Technical Support Protocols – Issues handled exclusively by authorised technical staff.</w:t>
      </w:r>
    </w:p>
    <w:p w14:paraId="355BABE3" w14:textId="52453753" w:rsidR="00E33B42" w:rsidRDefault="00E33B42" w:rsidP="00E33B42">
      <w:pPr>
        <w:pStyle w:val="ListParagraph"/>
      </w:pPr>
    </w:p>
    <w:p w14:paraId="70312A2D" w14:textId="6C30D423" w:rsidR="00C952D0" w:rsidRDefault="00C952D0" w:rsidP="00C952D0">
      <w:pPr>
        <w:pStyle w:val="ListParagraph"/>
        <w:numPr>
          <w:ilvl w:val="1"/>
          <w:numId w:val="1"/>
        </w:numPr>
        <w:rPr>
          <w:i/>
          <w:iCs/>
          <w:u w:val="single"/>
        </w:rPr>
      </w:pPr>
      <w:r>
        <w:rPr>
          <w:i/>
          <w:iCs/>
          <w:u w:val="single"/>
        </w:rPr>
        <w:t>Appropriate Policy Document:</w:t>
      </w:r>
    </w:p>
    <w:p w14:paraId="3AA522B2" w14:textId="77777777" w:rsidR="00C952D0" w:rsidRDefault="00C952D0" w:rsidP="00C952D0">
      <w:pPr>
        <w:pStyle w:val="ListParagraph"/>
      </w:pPr>
    </w:p>
    <w:p w14:paraId="29C625DB" w14:textId="77777777" w:rsidR="0031098C" w:rsidRDefault="0031098C" w:rsidP="0031098C">
      <w:pPr>
        <w:pStyle w:val="ListParagraph"/>
      </w:pPr>
      <w:r>
        <w:t>Under Section 42 of the Data Protection Act 2018, a controller must have an appropriate policy document in place when processing biometric personal data. Hertfordshire Constabulary has produced and published this document, which provides transparency on:</w:t>
      </w:r>
    </w:p>
    <w:p w14:paraId="53710FEE" w14:textId="77777777" w:rsidR="0031098C" w:rsidRDefault="0031098C" w:rsidP="0031098C">
      <w:pPr>
        <w:pStyle w:val="ListParagraph"/>
        <w:numPr>
          <w:ilvl w:val="0"/>
          <w:numId w:val="42"/>
        </w:numPr>
      </w:pPr>
      <w:r>
        <w:t>The data processed by the LFR system, frequency of processing, and whose data is involved;</w:t>
      </w:r>
    </w:p>
    <w:p w14:paraId="0255F0D6" w14:textId="77777777" w:rsidR="0031098C" w:rsidRDefault="0031098C" w:rsidP="0031098C">
      <w:pPr>
        <w:pStyle w:val="ListParagraph"/>
        <w:numPr>
          <w:ilvl w:val="0"/>
          <w:numId w:val="42"/>
        </w:numPr>
      </w:pPr>
      <w:r>
        <w:t>Procedures, safeguards, and accountability measures for compliance with data protection principles when relying on Schedule 8 conditions;</w:t>
      </w:r>
    </w:p>
    <w:p w14:paraId="20F6D127" w14:textId="31B8C6BD" w:rsidR="00C952D0" w:rsidRDefault="0031098C" w:rsidP="0031098C">
      <w:pPr>
        <w:pStyle w:val="ListParagraph"/>
        <w:numPr>
          <w:ilvl w:val="0"/>
          <w:numId w:val="42"/>
        </w:numPr>
      </w:pPr>
      <w:r>
        <w:lastRenderedPageBreak/>
        <w:t>Policies for retention and erasure of personal data processed by LFR.</w:t>
      </w:r>
    </w:p>
    <w:p w14:paraId="3917C5A7" w14:textId="77777777" w:rsidR="00A153DB" w:rsidRDefault="00A153DB" w:rsidP="00A153DB"/>
    <w:p w14:paraId="4179C8E4" w14:textId="6B73695C" w:rsidR="00A153DB" w:rsidRPr="00370117" w:rsidRDefault="00A153DB" w:rsidP="00370117">
      <w:pPr>
        <w:pStyle w:val="ListParagraph"/>
        <w:numPr>
          <w:ilvl w:val="1"/>
          <w:numId w:val="1"/>
        </w:numPr>
        <w:rPr>
          <w:i/>
          <w:iCs/>
          <w:u w:val="single"/>
        </w:rPr>
      </w:pPr>
      <w:r w:rsidRPr="00370117">
        <w:rPr>
          <w:i/>
          <w:iCs/>
          <w:u w:val="single"/>
        </w:rPr>
        <w:t>Data Protection Officer:</w:t>
      </w:r>
    </w:p>
    <w:p w14:paraId="240B9582" w14:textId="77777777" w:rsidR="00370117" w:rsidRDefault="00370117" w:rsidP="00370117">
      <w:pPr>
        <w:pStyle w:val="ListParagraph"/>
      </w:pPr>
    </w:p>
    <w:p w14:paraId="774F5942" w14:textId="7BF5CF17" w:rsidR="00370117" w:rsidRDefault="00E85C22" w:rsidP="00370117">
      <w:pPr>
        <w:pStyle w:val="ListParagraph"/>
      </w:pPr>
      <w:r w:rsidRPr="00E85C22">
        <w:t>Hertfordshire Constabulary has appointed a Data Protection Officer (DPO) in compliance with Part 3 of the Data Protection Act 2018. The DPO has been consulted on LFR and is available to advise the Chief Constable (as Data Controller) and Constabulary personnel on their DPA obligations. The DPO also monitors internal compliance with data protection requirements.</w:t>
      </w:r>
    </w:p>
    <w:p w14:paraId="591A77F2" w14:textId="77777777" w:rsidR="00DB757E" w:rsidRDefault="00DB757E" w:rsidP="00DB757E"/>
    <w:p w14:paraId="3B2CE007" w14:textId="65C0D521" w:rsidR="00DB757E" w:rsidRPr="00492F56" w:rsidRDefault="00DB757E" w:rsidP="00DB757E">
      <w:pPr>
        <w:pStyle w:val="Heading1"/>
        <w:numPr>
          <w:ilvl w:val="0"/>
          <w:numId w:val="1"/>
        </w:numPr>
        <w:rPr>
          <w:sz w:val="36"/>
          <w:szCs w:val="36"/>
        </w:rPr>
      </w:pPr>
      <w:bookmarkStart w:id="6" w:name="_Toc216180224"/>
      <w:r>
        <w:rPr>
          <w:sz w:val="36"/>
          <w:szCs w:val="36"/>
        </w:rPr>
        <w:t>General Data Protection Regulation</w:t>
      </w:r>
      <w:bookmarkEnd w:id="6"/>
    </w:p>
    <w:p w14:paraId="7BD9C9CC" w14:textId="6AB12DBF" w:rsidR="00DB757E" w:rsidRDefault="00502893" w:rsidP="00502893">
      <w:pPr>
        <w:pStyle w:val="ListParagraph"/>
        <w:numPr>
          <w:ilvl w:val="1"/>
          <w:numId w:val="1"/>
        </w:numPr>
      </w:pPr>
      <w:r w:rsidRPr="00502893">
        <w:t>As part of Hertfordshire Constabulary’s common law powers to protect life and property, we process special category data in compliance with Article 9 of the UK GDPR, as incorporated into UK law and supplemented by Part 2 and Schedule 1 of the Data Protection Act 2018.</w:t>
      </w:r>
    </w:p>
    <w:p w14:paraId="3E9B05E4" w14:textId="77777777" w:rsidR="00502893" w:rsidRDefault="00502893" w:rsidP="00502893">
      <w:pPr>
        <w:pStyle w:val="ListParagraph"/>
      </w:pPr>
    </w:p>
    <w:p w14:paraId="792A66A8" w14:textId="68BE774F" w:rsidR="00502893" w:rsidRDefault="006C4B19" w:rsidP="00502893">
      <w:pPr>
        <w:pStyle w:val="ListParagraph"/>
        <w:numPr>
          <w:ilvl w:val="1"/>
          <w:numId w:val="1"/>
        </w:numPr>
      </w:pPr>
      <w:r w:rsidRPr="006C4B19">
        <w:t>Under Schedule 1 of the Data Protection Act 2018, processing special category data requires Hertfordshire Constabulary to have an Appropriate Policy Document (APD) in place. This document sets out procedures for compliance with Article 5 GDPR principles on personal data processing and details policies for retention and erasure of such data.</w:t>
      </w:r>
    </w:p>
    <w:p w14:paraId="4850DF1A" w14:textId="77777777" w:rsidR="006C4B19" w:rsidRDefault="006C4B19" w:rsidP="006C4B19">
      <w:pPr>
        <w:pStyle w:val="ListParagraph"/>
      </w:pPr>
    </w:p>
    <w:p w14:paraId="04699800" w14:textId="77777777" w:rsidR="00896AD1" w:rsidRDefault="00896AD1" w:rsidP="002A3687">
      <w:pPr>
        <w:pStyle w:val="ListParagraph"/>
        <w:numPr>
          <w:ilvl w:val="1"/>
          <w:numId w:val="1"/>
        </w:numPr>
      </w:pPr>
      <w:r>
        <w:t>Processing of special category data under UK GDPR engages the following conditions:</w:t>
      </w:r>
    </w:p>
    <w:p w14:paraId="4200D568" w14:textId="43ADFA56" w:rsidR="00896AD1" w:rsidRDefault="00896AD1" w:rsidP="00896AD1">
      <w:pPr>
        <w:pStyle w:val="ListParagraph"/>
        <w:numPr>
          <w:ilvl w:val="0"/>
          <w:numId w:val="43"/>
        </w:numPr>
      </w:pPr>
      <w:r>
        <w:t>Explicit consent; and</w:t>
      </w:r>
    </w:p>
    <w:p w14:paraId="48ADA2F1" w14:textId="3507DCD6" w:rsidR="006C4B19" w:rsidRDefault="00896AD1" w:rsidP="00896AD1">
      <w:pPr>
        <w:pStyle w:val="ListParagraph"/>
        <w:numPr>
          <w:ilvl w:val="0"/>
          <w:numId w:val="43"/>
        </w:numPr>
      </w:pPr>
      <w:r>
        <w:t>Substantial public interest.</w:t>
      </w:r>
    </w:p>
    <w:p w14:paraId="1237E1B7" w14:textId="77777777" w:rsidR="00125508" w:rsidRDefault="00125508" w:rsidP="00125508">
      <w:pPr>
        <w:pStyle w:val="ListParagraph"/>
        <w:ind w:left="1440"/>
      </w:pPr>
    </w:p>
    <w:p w14:paraId="50963728" w14:textId="77777777" w:rsidR="00125508" w:rsidRDefault="00125508" w:rsidP="00125508">
      <w:pPr>
        <w:pStyle w:val="ListParagraph"/>
        <w:numPr>
          <w:ilvl w:val="1"/>
          <w:numId w:val="1"/>
        </w:numPr>
      </w:pPr>
      <w:r>
        <w:t>Section 10 of the Data Protection Act 2018 supplements Article 9 UK GDPR, requiring compliance with relevant Schedule 1 conditions, including:</w:t>
      </w:r>
    </w:p>
    <w:p w14:paraId="2B1B3982" w14:textId="77777777" w:rsidR="00125508" w:rsidRDefault="00125508" w:rsidP="00125508">
      <w:pPr>
        <w:pStyle w:val="ListParagraph"/>
        <w:numPr>
          <w:ilvl w:val="0"/>
          <w:numId w:val="44"/>
        </w:numPr>
      </w:pPr>
      <w:r>
        <w:t>Part 1 – Historical research; and</w:t>
      </w:r>
    </w:p>
    <w:p w14:paraId="19E59912" w14:textId="77527F8E" w:rsidR="000724B6" w:rsidRDefault="00125508" w:rsidP="000724B6">
      <w:pPr>
        <w:pStyle w:val="ListParagraph"/>
        <w:numPr>
          <w:ilvl w:val="0"/>
          <w:numId w:val="44"/>
        </w:numPr>
      </w:pPr>
      <w:r>
        <w:t>Part 2 – Substantial public interest.</w:t>
      </w:r>
    </w:p>
    <w:p w14:paraId="1BA20A7B" w14:textId="77777777" w:rsidR="00092A50" w:rsidRDefault="00092A50" w:rsidP="000724B6"/>
    <w:p w14:paraId="7CDAEFB2" w14:textId="77777777" w:rsidR="00092A50" w:rsidRDefault="00092A50" w:rsidP="000D3312">
      <w:pPr>
        <w:pStyle w:val="ListParagraph"/>
        <w:numPr>
          <w:ilvl w:val="1"/>
          <w:numId w:val="1"/>
        </w:numPr>
      </w:pPr>
      <w:r>
        <w:t>The following Schedule 1 Part 1 conditions of the Data Protection Act 2018 are engaged:</w:t>
      </w:r>
    </w:p>
    <w:p w14:paraId="1F67111C" w14:textId="77777777" w:rsidR="00092A50" w:rsidRDefault="00092A50" w:rsidP="00092A50">
      <w:pPr>
        <w:pStyle w:val="ListParagraph"/>
        <w:numPr>
          <w:ilvl w:val="0"/>
          <w:numId w:val="45"/>
        </w:numPr>
      </w:pPr>
      <w:r>
        <w:t>Statutory and research purposes for government functions; and</w:t>
      </w:r>
    </w:p>
    <w:p w14:paraId="39D53800" w14:textId="47EB0D39" w:rsidR="000724B6" w:rsidRDefault="00092A50" w:rsidP="00092A50">
      <w:pPr>
        <w:pStyle w:val="ListParagraph"/>
        <w:numPr>
          <w:ilvl w:val="0"/>
          <w:numId w:val="45"/>
        </w:numPr>
      </w:pPr>
      <w:r>
        <w:t>Safeguarding of children or individuals at risk.</w:t>
      </w:r>
    </w:p>
    <w:p w14:paraId="1AFAABAE" w14:textId="77777777" w:rsidR="00054772" w:rsidRDefault="00054772" w:rsidP="00054772"/>
    <w:p w14:paraId="32AE6EF8" w14:textId="77777777" w:rsidR="0074030E" w:rsidRDefault="0074030E" w:rsidP="0074030E">
      <w:pPr>
        <w:pStyle w:val="ListParagraph"/>
        <w:numPr>
          <w:ilvl w:val="1"/>
          <w:numId w:val="1"/>
        </w:numPr>
      </w:pPr>
      <w:r>
        <w:t>The following Schedule 1 Part 2 conditions of the Data Protection Act 2018 are engaged:</w:t>
      </w:r>
    </w:p>
    <w:p w14:paraId="29C0EB63" w14:textId="77777777" w:rsidR="0074030E" w:rsidRDefault="0074030E" w:rsidP="0074030E">
      <w:pPr>
        <w:pStyle w:val="ListParagraph"/>
        <w:numPr>
          <w:ilvl w:val="0"/>
          <w:numId w:val="46"/>
        </w:numPr>
      </w:pPr>
      <w:r>
        <w:t>Statutory and government purposes; and</w:t>
      </w:r>
    </w:p>
    <w:p w14:paraId="49C8185F" w14:textId="08832220" w:rsidR="00054772" w:rsidRDefault="0074030E" w:rsidP="0074030E">
      <w:pPr>
        <w:pStyle w:val="ListParagraph"/>
        <w:numPr>
          <w:ilvl w:val="0"/>
          <w:numId w:val="46"/>
        </w:numPr>
      </w:pPr>
      <w:r>
        <w:t>Safeguarding of children.</w:t>
      </w:r>
    </w:p>
    <w:p w14:paraId="13A76168" w14:textId="77777777" w:rsidR="00900138" w:rsidRDefault="00900138" w:rsidP="00900138"/>
    <w:p w14:paraId="5D9FD68B" w14:textId="185E5208" w:rsidR="00900138" w:rsidRDefault="00900138" w:rsidP="00900138">
      <w:pPr>
        <w:pStyle w:val="ListParagraph"/>
        <w:numPr>
          <w:ilvl w:val="1"/>
          <w:numId w:val="1"/>
        </w:numPr>
        <w:rPr>
          <w:i/>
          <w:iCs/>
          <w:u w:val="single"/>
        </w:rPr>
      </w:pPr>
      <w:r w:rsidRPr="00900138">
        <w:rPr>
          <w:i/>
          <w:iCs/>
          <w:u w:val="single"/>
        </w:rPr>
        <w:t xml:space="preserve">Appropriate Policy Document </w:t>
      </w:r>
    </w:p>
    <w:p w14:paraId="337EF0CC" w14:textId="77777777" w:rsidR="00CB75ED" w:rsidRPr="00900138" w:rsidRDefault="00CB75ED" w:rsidP="00CB75ED">
      <w:pPr>
        <w:pStyle w:val="ListParagraph"/>
        <w:rPr>
          <w:i/>
          <w:iCs/>
          <w:u w:val="single"/>
        </w:rPr>
      </w:pPr>
    </w:p>
    <w:p w14:paraId="5F3892A3" w14:textId="4C37A11C" w:rsidR="00900138" w:rsidRDefault="00CB75ED" w:rsidP="00900138">
      <w:pPr>
        <w:pStyle w:val="ListParagraph"/>
      </w:pPr>
      <w:r w:rsidRPr="00CB75ED">
        <w:t>Under Schedule 1 of the Data Protection Act 2018, processing special category data requires Hertfordshire Constabulary to have an Appropriate Policy Document (APD) in place. Hertfordshire Constabulary has produced and published this document, which explains:</w:t>
      </w:r>
    </w:p>
    <w:p w14:paraId="5E8888CC" w14:textId="1DFA9503" w:rsidR="00CB75ED" w:rsidRDefault="00CB75ED" w:rsidP="00CB75ED">
      <w:pPr>
        <w:pStyle w:val="ListParagraph"/>
        <w:numPr>
          <w:ilvl w:val="0"/>
          <w:numId w:val="47"/>
        </w:numPr>
      </w:pPr>
      <w:r>
        <w:t>The data processed by the LFR system, frequency of processing, and whose data is involved;</w:t>
      </w:r>
    </w:p>
    <w:p w14:paraId="2D72D41B" w14:textId="62FC0974" w:rsidR="00CB75ED" w:rsidRDefault="00CB75ED" w:rsidP="00CB75ED">
      <w:pPr>
        <w:pStyle w:val="ListParagraph"/>
        <w:numPr>
          <w:ilvl w:val="0"/>
          <w:numId w:val="47"/>
        </w:numPr>
      </w:pPr>
      <w:r>
        <w:t>Procedures, safeguards, and accountability measures for compliance with data protection principles when relying on Article 9 conditions;</w:t>
      </w:r>
    </w:p>
    <w:p w14:paraId="219F82DC" w14:textId="095DBB3B" w:rsidR="00CB75ED" w:rsidRDefault="00CB75ED" w:rsidP="00CB75ED">
      <w:pPr>
        <w:pStyle w:val="ListParagraph"/>
        <w:numPr>
          <w:ilvl w:val="0"/>
          <w:numId w:val="47"/>
        </w:numPr>
      </w:pPr>
      <w:r>
        <w:t>Policies for retention and erasure of personal data processed by LFR.</w:t>
      </w:r>
    </w:p>
    <w:p w14:paraId="07CA6749" w14:textId="77777777" w:rsidR="007B0B8E" w:rsidRDefault="007B0B8E" w:rsidP="007B0B8E"/>
    <w:p w14:paraId="3951E2E9" w14:textId="0DBEC1E8" w:rsidR="007B0B8E" w:rsidRDefault="007B0B8E" w:rsidP="007B0B8E">
      <w:pPr>
        <w:pStyle w:val="Heading1"/>
        <w:numPr>
          <w:ilvl w:val="0"/>
          <w:numId w:val="1"/>
        </w:numPr>
        <w:rPr>
          <w:sz w:val="36"/>
          <w:szCs w:val="36"/>
        </w:rPr>
      </w:pPr>
      <w:bookmarkStart w:id="7" w:name="_Toc216180225"/>
      <w:r>
        <w:rPr>
          <w:sz w:val="36"/>
          <w:szCs w:val="36"/>
        </w:rPr>
        <w:t>Protection of Freedoms Act 2012</w:t>
      </w:r>
      <w:bookmarkEnd w:id="7"/>
    </w:p>
    <w:p w14:paraId="1E4D122B" w14:textId="77777777" w:rsidR="007B0B8E" w:rsidRDefault="007B0B8E" w:rsidP="007B0B8E">
      <w:pPr>
        <w:pStyle w:val="ListParagraph"/>
      </w:pPr>
    </w:p>
    <w:p w14:paraId="2E6E466F" w14:textId="77777777" w:rsidR="002202E9" w:rsidRDefault="002202E9" w:rsidP="002202E9">
      <w:pPr>
        <w:pStyle w:val="ListParagraph"/>
      </w:pPr>
      <w:r>
        <w:t>The Protection of Freedoms Act 2012 (PoFA) introduced the Surveillance Camera Code of Practice issued by the Secretary of State and established the role of the Surveillance Camera Commissioner. Under Section 33(1) PoFA, Hertfordshire Constabulary must have regard to the Code when using LFR, including compliance with its 12 guiding principles for system operators.</w:t>
      </w:r>
    </w:p>
    <w:p w14:paraId="7DA28858" w14:textId="77777777" w:rsidR="002202E9" w:rsidRDefault="002202E9" w:rsidP="002202E9">
      <w:pPr>
        <w:pStyle w:val="ListParagraph"/>
      </w:pPr>
    </w:p>
    <w:p w14:paraId="4F9EE83D" w14:textId="5790CDC4" w:rsidR="007B0B8E" w:rsidRDefault="002202E9" w:rsidP="002202E9">
      <w:pPr>
        <w:pStyle w:val="ListParagraph"/>
      </w:pPr>
      <w:r>
        <w:t>The Code also provides specific guidance on automated recognition technologies, which Hertfordshire Constabulary adheres to as part of its operational and governance framework.</w:t>
      </w:r>
    </w:p>
    <w:p w14:paraId="6FE15724" w14:textId="77777777" w:rsidR="002202E9" w:rsidRDefault="002202E9" w:rsidP="002202E9">
      <w:pPr>
        <w:pStyle w:val="ListParagraph"/>
      </w:pPr>
    </w:p>
    <w:p w14:paraId="4A5CB6EF" w14:textId="77777777" w:rsidR="002202E9" w:rsidRDefault="002202E9" w:rsidP="002202E9">
      <w:pPr>
        <w:pStyle w:val="ListParagraph"/>
      </w:pPr>
    </w:p>
    <w:p w14:paraId="62C070BD" w14:textId="77777777" w:rsidR="00337FA4" w:rsidRDefault="00337FA4" w:rsidP="002202E9">
      <w:pPr>
        <w:pStyle w:val="ListParagraph"/>
      </w:pPr>
    </w:p>
    <w:p w14:paraId="41596CB0" w14:textId="77777777" w:rsidR="00337FA4" w:rsidRDefault="00337FA4" w:rsidP="002202E9">
      <w:pPr>
        <w:pStyle w:val="ListParagraph"/>
      </w:pPr>
    </w:p>
    <w:p w14:paraId="3539494A" w14:textId="77777777" w:rsidR="00337FA4" w:rsidRDefault="00337FA4" w:rsidP="002202E9">
      <w:pPr>
        <w:pStyle w:val="ListParagraph"/>
      </w:pPr>
    </w:p>
    <w:p w14:paraId="0C5A0BE2" w14:textId="77777777" w:rsidR="00337FA4" w:rsidRDefault="00337FA4" w:rsidP="002202E9">
      <w:pPr>
        <w:pStyle w:val="ListParagraph"/>
      </w:pPr>
    </w:p>
    <w:p w14:paraId="4659CFF4" w14:textId="77777777" w:rsidR="00337FA4" w:rsidRDefault="00337FA4" w:rsidP="002202E9">
      <w:pPr>
        <w:pStyle w:val="ListParagraph"/>
      </w:pPr>
    </w:p>
    <w:p w14:paraId="552788B2" w14:textId="77777777" w:rsidR="002202E9" w:rsidRDefault="002202E9" w:rsidP="002202E9">
      <w:pPr>
        <w:pStyle w:val="ListParagraph"/>
      </w:pPr>
    </w:p>
    <w:tbl>
      <w:tblPr>
        <w:tblW w:w="8589"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7"/>
        <w:gridCol w:w="5652"/>
      </w:tblGrid>
      <w:tr w:rsidR="002E372F" w:rsidRPr="00366213" w14:paraId="3BB6330C" w14:textId="77777777" w:rsidTr="002E372F">
        <w:trPr>
          <w:trHeight w:val="278"/>
        </w:trPr>
        <w:tc>
          <w:tcPr>
            <w:tcW w:w="2937" w:type="dxa"/>
            <w:tcBorders>
              <w:bottom w:val="nil"/>
            </w:tcBorders>
            <w:shd w:val="clear" w:color="auto" w:fill="000000"/>
          </w:tcPr>
          <w:p w14:paraId="11336AAC" w14:textId="77777777" w:rsidR="002E372F" w:rsidRPr="00320825" w:rsidRDefault="002E372F" w:rsidP="0048278C">
            <w:pPr>
              <w:pStyle w:val="TableParagraph"/>
              <w:spacing w:line="258" w:lineRule="exact"/>
              <w:rPr>
                <w:rFonts w:asciiTheme="minorHAnsi" w:hAnsiTheme="minorHAnsi" w:cs="Arial"/>
                <w:b/>
                <w:sz w:val="24"/>
                <w:szCs w:val="24"/>
              </w:rPr>
            </w:pPr>
            <w:r w:rsidRPr="00320825">
              <w:rPr>
                <w:rFonts w:asciiTheme="minorHAnsi" w:hAnsiTheme="minorHAnsi" w:cs="Arial"/>
                <w:b/>
                <w:color w:val="FFFFFF"/>
                <w:spacing w:val="-4"/>
                <w:sz w:val="24"/>
                <w:szCs w:val="24"/>
              </w:rPr>
              <w:lastRenderedPageBreak/>
              <w:t>Code</w:t>
            </w:r>
          </w:p>
        </w:tc>
        <w:tc>
          <w:tcPr>
            <w:tcW w:w="5652" w:type="dxa"/>
            <w:tcBorders>
              <w:bottom w:val="nil"/>
            </w:tcBorders>
            <w:shd w:val="clear" w:color="auto" w:fill="000000"/>
          </w:tcPr>
          <w:p w14:paraId="7C900253" w14:textId="337359AE" w:rsidR="002E372F" w:rsidRPr="00320825" w:rsidRDefault="002E372F" w:rsidP="0048278C">
            <w:pPr>
              <w:pStyle w:val="TableParagraph"/>
              <w:spacing w:line="258" w:lineRule="exact"/>
              <w:rPr>
                <w:rFonts w:asciiTheme="minorHAnsi" w:hAnsiTheme="minorHAnsi" w:cs="Arial"/>
                <w:b/>
                <w:sz w:val="24"/>
                <w:szCs w:val="24"/>
              </w:rPr>
            </w:pPr>
            <w:r w:rsidRPr="00320825">
              <w:rPr>
                <w:rFonts w:asciiTheme="minorHAnsi" w:hAnsiTheme="minorHAnsi" w:cs="Arial"/>
                <w:b/>
                <w:color w:val="FFFFFF"/>
                <w:sz w:val="24"/>
                <w:szCs w:val="24"/>
              </w:rPr>
              <w:t>H</w:t>
            </w:r>
            <w:r w:rsidR="00320825" w:rsidRPr="00320825">
              <w:rPr>
                <w:rFonts w:asciiTheme="minorHAnsi" w:hAnsiTheme="minorHAnsi" w:cs="Arial"/>
                <w:b/>
                <w:color w:val="FFFFFF"/>
                <w:sz w:val="24"/>
                <w:szCs w:val="24"/>
              </w:rPr>
              <w:t>ertfordshire Constabulary</w:t>
            </w:r>
            <w:r w:rsidRPr="00320825">
              <w:rPr>
                <w:rFonts w:asciiTheme="minorHAnsi" w:hAnsiTheme="minorHAnsi" w:cs="Arial"/>
                <w:b/>
                <w:color w:val="FFFFFF"/>
                <w:sz w:val="24"/>
                <w:szCs w:val="24"/>
              </w:rPr>
              <w:t xml:space="preserve"> </w:t>
            </w:r>
            <w:r w:rsidRPr="00320825">
              <w:rPr>
                <w:rFonts w:asciiTheme="minorHAnsi" w:hAnsiTheme="minorHAnsi" w:cs="Arial"/>
                <w:b/>
                <w:color w:val="FFFFFF"/>
                <w:spacing w:val="-2"/>
                <w:sz w:val="24"/>
                <w:szCs w:val="24"/>
              </w:rPr>
              <w:t>approach</w:t>
            </w:r>
          </w:p>
        </w:tc>
      </w:tr>
      <w:tr w:rsidR="002E372F" w:rsidRPr="00366213" w14:paraId="30256700" w14:textId="77777777" w:rsidTr="002E372F">
        <w:trPr>
          <w:trHeight w:val="1607"/>
        </w:trPr>
        <w:tc>
          <w:tcPr>
            <w:tcW w:w="2937" w:type="dxa"/>
          </w:tcPr>
          <w:p w14:paraId="57D127CD" w14:textId="024E1EB0" w:rsidR="002E372F" w:rsidRPr="00320825" w:rsidRDefault="00663AE1" w:rsidP="0048278C">
            <w:pPr>
              <w:pStyle w:val="TableParagraph"/>
              <w:spacing w:line="253" w:lineRule="exact"/>
              <w:rPr>
                <w:rFonts w:asciiTheme="minorHAnsi" w:hAnsiTheme="minorHAnsi" w:cs="Arial"/>
                <w:sz w:val="24"/>
                <w:szCs w:val="24"/>
              </w:rPr>
            </w:pPr>
            <w:r w:rsidRPr="00320825">
              <w:rPr>
                <w:rFonts w:asciiTheme="minorHAnsi" w:hAnsiTheme="minorHAnsi" w:cs="Arial"/>
                <w:sz w:val="24"/>
                <w:szCs w:val="24"/>
              </w:rPr>
              <w:t>Fair processing information to data subjects</w:t>
            </w:r>
          </w:p>
        </w:tc>
        <w:tc>
          <w:tcPr>
            <w:tcW w:w="5652" w:type="dxa"/>
          </w:tcPr>
          <w:p w14:paraId="20298561" w14:textId="77E45879" w:rsidR="002E372F" w:rsidRPr="00320825" w:rsidRDefault="00663AE1" w:rsidP="0048278C">
            <w:pPr>
              <w:pStyle w:val="TableParagraph"/>
              <w:spacing w:line="270" w:lineRule="atLeast"/>
              <w:ind w:right="91"/>
              <w:jc w:val="both"/>
              <w:rPr>
                <w:rFonts w:asciiTheme="minorHAnsi" w:hAnsiTheme="minorHAnsi" w:cs="Arial"/>
                <w:sz w:val="24"/>
                <w:szCs w:val="24"/>
              </w:rPr>
            </w:pPr>
            <w:r w:rsidRPr="00320825">
              <w:rPr>
                <w:rFonts w:asciiTheme="minorHAnsi" w:hAnsiTheme="minorHAnsi" w:cs="Arial"/>
                <w:sz w:val="24"/>
                <w:szCs w:val="24"/>
              </w:rPr>
              <w:t>Information on LFR and data processing is made publicly available via the Constabulary’s website. LFR deployments are disclosed with supporting details.</w:t>
            </w:r>
          </w:p>
          <w:p w14:paraId="6BAEE8C9" w14:textId="73EE8DED" w:rsidR="00663AE1" w:rsidRPr="00320825" w:rsidRDefault="00663AE1" w:rsidP="00663AE1">
            <w:pPr>
              <w:tabs>
                <w:tab w:val="left" w:pos="1320"/>
              </w:tabs>
            </w:pPr>
            <w:r w:rsidRPr="00320825">
              <w:tab/>
            </w:r>
          </w:p>
        </w:tc>
      </w:tr>
      <w:tr w:rsidR="002E372F" w:rsidRPr="00366213" w14:paraId="4322FD20" w14:textId="77777777" w:rsidTr="00191FD2">
        <w:trPr>
          <w:trHeight w:val="924"/>
        </w:trPr>
        <w:tc>
          <w:tcPr>
            <w:tcW w:w="2937" w:type="dxa"/>
          </w:tcPr>
          <w:p w14:paraId="25ED27C5" w14:textId="08BFBEFA" w:rsidR="002E372F" w:rsidRPr="00320825" w:rsidRDefault="00663AE1" w:rsidP="0048278C">
            <w:pPr>
              <w:pStyle w:val="TableParagraph"/>
              <w:spacing w:line="258" w:lineRule="exact"/>
              <w:rPr>
                <w:rFonts w:asciiTheme="minorHAnsi" w:hAnsiTheme="minorHAnsi" w:cs="Arial"/>
                <w:sz w:val="24"/>
                <w:szCs w:val="24"/>
              </w:rPr>
            </w:pPr>
            <w:r w:rsidRPr="00320825">
              <w:rPr>
                <w:rFonts w:asciiTheme="minorHAnsi" w:hAnsiTheme="minorHAnsi" w:cs="Arial"/>
                <w:sz w:val="24"/>
                <w:szCs w:val="24"/>
              </w:rPr>
              <w:t>Appropriate retention and disposal systems</w:t>
            </w:r>
          </w:p>
        </w:tc>
        <w:tc>
          <w:tcPr>
            <w:tcW w:w="5652" w:type="dxa"/>
          </w:tcPr>
          <w:p w14:paraId="35A2D71B" w14:textId="55FB94D5" w:rsidR="002E372F" w:rsidRPr="00320825" w:rsidRDefault="00663AE1" w:rsidP="0048278C">
            <w:pPr>
              <w:pStyle w:val="TableParagraph"/>
              <w:spacing w:line="259" w:lineRule="exact"/>
              <w:rPr>
                <w:rFonts w:asciiTheme="minorHAnsi" w:hAnsiTheme="minorHAnsi" w:cs="Arial"/>
                <w:sz w:val="24"/>
                <w:szCs w:val="24"/>
              </w:rPr>
            </w:pPr>
            <w:r w:rsidRPr="00320825">
              <w:rPr>
                <w:rFonts w:asciiTheme="minorHAnsi" w:hAnsiTheme="minorHAnsi" w:cs="Arial"/>
                <w:sz w:val="24"/>
                <w:szCs w:val="24"/>
              </w:rPr>
              <w:t>Addressed through policies and procedures set out in Hertfordshire Constabulary LFR Documents.</w:t>
            </w:r>
          </w:p>
        </w:tc>
      </w:tr>
      <w:tr w:rsidR="002E372F" w:rsidRPr="00366213" w14:paraId="456315E1" w14:textId="77777777" w:rsidTr="002E372F">
        <w:trPr>
          <w:trHeight w:val="803"/>
        </w:trPr>
        <w:tc>
          <w:tcPr>
            <w:tcW w:w="2937" w:type="dxa"/>
          </w:tcPr>
          <w:p w14:paraId="4D2ADAF1" w14:textId="2C5CE2E0" w:rsidR="002E372F" w:rsidRPr="00320825" w:rsidRDefault="00663AE1" w:rsidP="0048278C">
            <w:pPr>
              <w:pStyle w:val="TableParagraph"/>
              <w:rPr>
                <w:rFonts w:asciiTheme="minorHAnsi" w:hAnsiTheme="minorHAnsi" w:cs="Arial"/>
                <w:sz w:val="24"/>
                <w:szCs w:val="24"/>
              </w:rPr>
            </w:pPr>
            <w:r w:rsidRPr="00320825">
              <w:rPr>
                <w:rFonts w:asciiTheme="minorHAnsi" w:hAnsiTheme="minorHAnsi" w:cs="Arial"/>
                <w:sz w:val="24"/>
                <w:szCs w:val="24"/>
              </w:rPr>
              <w:t>Suitable technological and physical security measures</w:t>
            </w:r>
          </w:p>
          <w:p w14:paraId="3055980E" w14:textId="001E36BB" w:rsidR="00663AE1" w:rsidRPr="00320825" w:rsidRDefault="00663AE1" w:rsidP="00663AE1">
            <w:pPr>
              <w:tabs>
                <w:tab w:val="left" w:pos="915"/>
              </w:tabs>
            </w:pPr>
            <w:r w:rsidRPr="00320825">
              <w:tab/>
            </w:r>
          </w:p>
        </w:tc>
        <w:tc>
          <w:tcPr>
            <w:tcW w:w="5652" w:type="dxa"/>
          </w:tcPr>
          <w:p w14:paraId="342D3550" w14:textId="5703AFE0" w:rsidR="002E372F" w:rsidRPr="00320825" w:rsidRDefault="00191FD2" w:rsidP="0048278C">
            <w:pPr>
              <w:pStyle w:val="TableParagraph"/>
              <w:spacing w:line="257" w:lineRule="exact"/>
              <w:rPr>
                <w:rFonts w:asciiTheme="minorHAnsi" w:hAnsiTheme="minorHAnsi" w:cs="Arial"/>
                <w:sz w:val="24"/>
                <w:szCs w:val="24"/>
              </w:rPr>
            </w:pPr>
            <w:r w:rsidRPr="00320825">
              <w:rPr>
                <w:rFonts w:asciiTheme="minorHAnsi" w:hAnsiTheme="minorHAnsi" w:cs="Arial"/>
                <w:sz w:val="24"/>
                <w:szCs w:val="24"/>
              </w:rPr>
              <w:t>Implemented by design and detailed in Hertfordshire Constabulary LFR Documents.</w:t>
            </w:r>
          </w:p>
        </w:tc>
      </w:tr>
      <w:tr w:rsidR="002E372F" w:rsidRPr="00366213" w14:paraId="22DFAB63" w14:textId="77777777" w:rsidTr="00191FD2">
        <w:trPr>
          <w:trHeight w:val="810"/>
        </w:trPr>
        <w:tc>
          <w:tcPr>
            <w:tcW w:w="2937" w:type="dxa"/>
          </w:tcPr>
          <w:p w14:paraId="3033B133" w14:textId="65468808" w:rsidR="002E372F" w:rsidRPr="00320825" w:rsidRDefault="00191FD2" w:rsidP="0048278C">
            <w:pPr>
              <w:pStyle w:val="TableParagraph"/>
              <w:spacing w:line="260" w:lineRule="exact"/>
              <w:rPr>
                <w:rFonts w:asciiTheme="minorHAnsi" w:hAnsiTheme="minorHAnsi" w:cs="Arial"/>
                <w:sz w:val="24"/>
                <w:szCs w:val="24"/>
              </w:rPr>
            </w:pPr>
            <w:r w:rsidRPr="00320825">
              <w:rPr>
                <w:rFonts w:asciiTheme="minorHAnsi" w:hAnsiTheme="minorHAnsi" w:cs="Arial"/>
                <w:sz w:val="24"/>
                <w:szCs w:val="24"/>
              </w:rPr>
              <w:t>Cameras of sufficient quality to meet intended purpose</w:t>
            </w:r>
          </w:p>
        </w:tc>
        <w:tc>
          <w:tcPr>
            <w:tcW w:w="5652" w:type="dxa"/>
          </w:tcPr>
          <w:p w14:paraId="0A420C54" w14:textId="522B2939" w:rsidR="002E372F" w:rsidRPr="00320825" w:rsidRDefault="00191FD2" w:rsidP="0048278C">
            <w:pPr>
              <w:pStyle w:val="TableParagraph"/>
              <w:spacing w:line="260" w:lineRule="exact"/>
              <w:rPr>
                <w:rFonts w:asciiTheme="minorHAnsi" w:hAnsiTheme="minorHAnsi" w:cs="Arial"/>
                <w:sz w:val="24"/>
                <w:szCs w:val="24"/>
              </w:rPr>
            </w:pPr>
            <w:r w:rsidRPr="00320825">
              <w:rPr>
                <w:rFonts w:asciiTheme="minorHAnsi" w:hAnsiTheme="minorHAnsi" w:cs="Arial"/>
                <w:sz w:val="24"/>
                <w:szCs w:val="24"/>
              </w:rPr>
              <w:t>Ensured through the design specifications of the LFR system.</w:t>
            </w:r>
          </w:p>
        </w:tc>
      </w:tr>
      <w:tr w:rsidR="00B97268" w:rsidRPr="00366213" w14:paraId="6C1B2F50" w14:textId="77777777" w:rsidTr="00191FD2">
        <w:trPr>
          <w:trHeight w:val="810"/>
        </w:trPr>
        <w:tc>
          <w:tcPr>
            <w:tcW w:w="2937" w:type="dxa"/>
          </w:tcPr>
          <w:p w14:paraId="5D2B2941" w14:textId="64E74F98" w:rsidR="00B97268" w:rsidRPr="00320825" w:rsidRDefault="00320825" w:rsidP="0048278C">
            <w:pPr>
              <w:pStyle w:val="TableParagraph"/>
              <w:spacing w:line="260" w:lineRule="exact"/>
              <w:rPr>
                <w:rFonts w:asciiTheme="minorHAnsi" w:hAnsiTheme="minorHAnsi" w:cs="Arial"/>
                <w:sz w:val="24"/>
                <w:szCs w:val="24"/>
              </w:rPr>
            </w:pPr>
            <w:r w:rsidRPr="00320825">
              <w:rPr>
                <w:rFonts w:asciiTheme="minorHAnsi" w:hAnsiTheme="minorHAnsi" w:cs="Arial"/>
                <w:sz w:val="24"/>
                <w:szCs w:val="24"/>
              </w:rPr>
              <w:t>Monitored by trained individuals</w:t>
            </w:r>
          </w:p>
        </w:tc>
        <w:tc>
          <w:tcPr>
            <w:tcW w:w="5652" w:type="dxa"/>
          </w:tcPr>
          <w:p w14:paraId="5BDA988D" w14:textId="4FD435A2" w:rsidR="00B97268" w:rsidRPr="00320825" w:rsidRDefault="00320825" w:rsidP="0048278C">
            <w:pPr>
              <w:pStyle w:val="TableParagraph"/>
              <w:spacing w:line="260" w:lineRule="exact"/>
              <w:rPr>
                <w:rFonts w:asciiTheme="minorHAnsi" w:hAnsiTheme="minorHAnsi" w:cs="Arial"/>
                <w:sz w:val="24"/>
                <w:szCs w:val="24"/>
              </w:rPr>
            </w:pPr>
            <w:r w:rsidRPr="00320825">
              <w:rPr>
                <w:rFonts w:asciiTheme="minorHAnsi" w:hAnsiTheme="minorHAnsi" w:cs="Arial"/>
                <w:sz w:val="24"/>
                <w:szCs w:val="24"/>
              </w:rPr>
              <w:t>The LFR system always flags possible matches to a trained Hertfordshire Constabulary officer for review and decision-making. The system assists officers rather than operating autonomously.</w:t>
            </w:r>
          </w:p>
        </w:tc>
      </w:tr>
    </w:tbl>
    <w:p w14:paraId="5A3BF7C0" w14:textId="77777777" w:rsidR="002202E9" w:rsidRDefault="002202E9" w:rsidP="002202E9">
      <w:pPr>
        <w:pStyle w:val="ListParagraph"/>
      </w:pPr>
    </w:p>
    <w:p w14:paraId="19AB434A" w14:textId="7794EBF4" w:rsidR="00191FD2" w:rsidRDefault="001014B3" w:rsidP="001014B3">
      <w:pPr>
        <w:pStyle w:val="Heading1"/>
        <w:numPr>
          <w:ilvl w:val="0"/>
          <w:numId w:val="1"/>
        </w:numPr>
        <w:rPr>
          <w:sz w:val="36"/>
          <w:szCs w:val="36"/>
        </w:rPr>
      </w:pPr>
      <w:bookmarkStart w:id="8" w:name="_Toc216180226"/>
      <w:r>
        <w:rPr>
          <w:sz w:val="36"/>
          <w:szCs w:val="36"/>
        </w:rPr>
        <w:t>Freedom of Information Act 2000</w:t>
      </w:r>
      <w:bookmarkEnd w:id="8"/>
    </w:p>
    <w:p w14:paraId="4E5250AD" w14:textId="24DFC215" w:rsidR="00D43901" w:rsidRDefault="00D43901" w:rsidP="00D43901">
      <w:pPr>
        <w:pStyle w:val="ListParagraph"/>
      </w:pPr>
      <w:r>
        <w:t>The Freedom of Information Act 2000 provides public access to information held by public authorities in two ways:</w:t>
      </w:r>
    </w:p>
    <w:p w14:paraId="314D7DD0" w14:textId="77777777" w:rsidR="00D43901" w:rsidRDefault="00D43901" w:rsidP="00D43901">
      <w:pPr>
        <w:pStyle w:val="ListParagraph"/>
      </w:pPr>
    </w:p>
    <w:p w14:paraId="46EDE0CD" w14:textId="3ABBDE07" w:rsidR="00D43901" w:rsidRDefault="00D43901" w:rsidP="00D43901">
      <w:pPr>
        <w:pStyle w:val="ListParagraph"/>
        <w:numPr>
          <w:ilvl w:val="0"/>
          <w:numId w:val="48"/>
        </w:numPr>
      </w:pPr>
      <w:r>
        <w:t>Public authorities must publish certain information about their activities; and</w:t>
      </w:r>
    </w:p>
    <w:p w14:paraId="2ED5FE27" w14:textId="474C1DAE" w:rsidR="00D43901" w:rsidRDefault="00D43901" w:rsidP="00D43901">
      <w:pPr>
        <w:pStyle w:val="ListParagraph"/>
        <w:numPr>
          <w:ilvl w:val="0"/>
          <w:numId w:val="48"/>
        </w:numPr>
      </w:pPr>
      <w:r>
        <w:t>Members of the public are entitled to request information from public authorities.</w:t>
      </w:r>
    </w:p>
    <w:p w14:paraId="6283E44D" w14:textId="77777777" w:rsidR="00D43901" w:rsidRDefault="00D43901" w:rsidP="00D43901">
      <w:pPr>
        <w:pStyle w:val="ListParagraph"/>
      </w:pPr>
    </w:p>
    <w:p w14:paraId="43EF1955" w14:textId="77777777" w:rsidR="00D43901" w:rsidRDefault="00D43901" w:rsidP="00D43901">
      <w:pPr>
        <w:pStyle w:val="ListParagraph"/>
      </w:pPr>
      <w:r>
        <w:t>In compliance with FOIA, Hertfordshire Constabulary publishes significant LFR-related information on its website, including:</w:t>
      </w:r>
    </w:p>
    <w:p w14:paraId="7AC23E75" w14:textId="79E43C6D" w:rsidR="00D43901" w:rsidRDefault="00D43901" w:rsidP="00D43901">
      <w:pPr>
        <w:pStyle w:val="ListParagraph"/>
        <w:numPr>
          <w:ilvl w:val="0"/>
          <w:numId w:val="49"/>
        </w:numPr>
      </w:pPr>
      <w:r>
        <w:t>Summary details of LFR deployments;</w:t>
      </w:r>
    </w:p>
    <w:p w14:paraId="08E31408" w14:textId="77777777" w:rsidR="00D43901" w:rsidRDefault="00D43901" w:rsidP="00D43901">
      <w:pPr>
        <w:pStyle w:val="ListParagraph"/>
        <w:numPr>
          <w:ilvl w:val="0"/>
          <w:numId w:val="49"/>
        </w:numPr>
      </w:pPr>
      <w:r>
        <w:t>Watchlist size;</w:t>
      </w:r>
    </w:p>
    <w:p w14:paraId="0A841E66" w14:textId="77777777" w:rsidR="00D43901" w:rsidRDefault="00D43901" w:rsidP="00D43901">
      <w:pPr>
        <w:pStyle w:val="ListParagraph"/>
        <w:numPr>
          <w:ilvl w:val="0"/>
          <w:numId w:val="49"/>
        </w:numPr>
      </w:pPr>
      <w:r>
        <w:t>Total number of alerts, positive actions, incorrect identifications;</w:t>
      </w:r>
    </w:p>
    <w:p w14:paraId="098ED7F8" w14:textId="77777777" w:rsidR="00D43901" w:rsidRDefault="00D43901" w:rsidP="00D43901">
      <w:pPr>
        <w:pStyle w:val="ListParagraph"/>
        <w:numPr>
          <w:ilvl w:val="0"/>
          <w:numId w:val="49"/>
        </w:numPr>
      </w:pPr>
      <w:r>
        <w:t>Arrests and disposals; and</w:t>
      </w:r>
    </w:p>
    <w:p w14:paraId="47FFFF50" w14:textId="77777777" w:rsidR="00D43901" w:rsidRDefault="00D43901" w:rsidP="00D43901">
      <w:pPr>
        <w:pStyle w:val="ListParagraph"/>
        <w:numPr>
          <w:ilvl w:val="0"/>
          <w:numId w:val="49"/>
        </w:numPr>
      </w:pPr>
      <w:r>
        <w:t>Estimated number of faces scanned during deployments.</w:t>
      </w:r>
    </w:p>
    <w:p w14:paraId="42F27F12" w14:textId="77777777" w:rsidR="00D43901" w:rsidRDefault="00D43901" w:rsidP="00D43901">
      <w:pPr>
        <w:pStyle w:val="ListParagraph"/>
      </w:pPr>
    </w:p>
    <w:p w14:paraId="035F3C32" w14:textId="6C01BBAA" w:rsidR="001014B3" w:rsidRDefault="00D43901" w:rsidP="00D43901">
      <w:pPr>
        <w:pStyle w:val="ListParagraph"/>
      </w:pPr>
      <w:r>
        <w:t>Hertfordshire Constabulary also responds to FOIA requests in accordance with statutory obligations.</w:t>
      </w:r>
    </w:p>
    <w:p w14:paraId="2D72DD94" w14:textId="77777777" w:rsidR="00EB3DC8" w:rsidRDefault="00EB3DC8" w:rsidP="00D43901">
      <w:pPr>
        <w:pStyle w:val="ListParagraph"/>
      </w:pPr>
    </w:p>
    <w:p w14:paraId="07D5EC47" w14:textId="77777777" w:rsidR="00EB3DC8" w:rsidRDefault="00EB3DC8" w:rsidP="00D43901">
      <w:pPr>
        <w:pStyle w:val="ListParagraph"/>
      </w:pPr>
    </w:p>
    <w:p w14:paraId="16B06D15" w14:textId="2B433BAF" w:rsidR="00EB3DC8" w:rsidRDefault="00EB3DC8" w:rsidP="00EB3DC8">
      <w:pPr>
        <w:pStyle w:val="Heading1"/>
        <w:numPr>
          <w:ilvl w:val="0"/>
          <w:numId w:val="1"/>
        </w:numPr>
        <w:rPr>
          <w:sz w:val="36"/>
          <w:szCs w:val="36"/>
        </w:rPr>
      </w:pPr>
      <w:bookmarkStart w:id="9" w:name="_Toc216180227"/>
      <w:r>
        <w:rPr>
          <w:sz w:val="36"/>
          <w:szCs w:val="36"/>
        </w:rPr>
        <w:lastRenderedPageBreak/>
        <w:t>Legal Framework and Governance Overview</w:t>
      </w:r>
      <w:bookmarkEnd w:id="9"/>
    </w:p>
    <w:p w14:paraId="14235A13" w14:textId="11CC92F2" w:rsidR="00EB3DC8" w:rsidRDefault="00EB3DC8" w:rsidP="00EB3DC8">
      <w:pPr>
        <w:pStyle w:val="ListParagraph"/>
      </w:pPr>
      <w:r>
        <w:t>Summary of existing legislation and related governance regards policing’s overt</w:t>
      </w:r>
      <w:r w:rsidR="00724370">
        <w:t xml:space="preserve"> use of Live Facial Recognition Technology</w:t>
      </w:r>
    </w:p>
    <w:p w14:paraId="7ADEDADF" w14:textId="527F9233" w:rsidR="001730E2" w:rsidRPr="00EB3DC8" w:rsidRDefault="001730E2" w:rsidP="00EB3DC8">
      <w:pPr>
        <w:pStyle w:val="ListParagraph"/>
      </w:pPr>
      <w:r w:rsidRPr="00366213">
        <w:rPr>
          <w:rFonts w:ascii="Arial" w:hAnsi="Arial" w:cs="Arial"/>
          <w:b/>
          <w:noProof/>
          <w:sz w:val="20"/>
        </w:rPr>
        <w:drawing>
          <wp:anchor distT="0" distB="0" distL="0" distR="0" simplePos="0" relativeHeight="251658262" behindDoc="1" locked="0" layoutInCell="1" allowOverlap="1" wp14:anchorId="03188BAB" wp14:editId="3E0D2675">
            <wp:simplePos x="0" y="0"/>
            <wp:positionH relativeFrom="page">
              <wp:posOffset>914400</wp:posOffset>
            </wp:positionH>
            <wp:positionV relativeFrom="paragraph">
              <wp:posOffset>208915</wp:posOffset>
            </wp:positionV>
            <wp:extent cx="5633627" cy="3160585"/>
            <wp:effectExtent l="0" t="0" r="0" b="0"/>
            <wp:wrapTopAndBottom/>
            <wp:docPr id="36" name="Image 36" descr="A diagram of a diagram&#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diagram of a diagram&#10;&#10;AI-generated content may be incorrect."/>
                    <pic:cNvPicPr/>
                  </pic:nvPicPr>
                  <pic:blipFill>
                    <a:blip r:embed="rId12" cstate="print"/>
                    <a:stretch>
                      <a:fillRect/>
                    </a:stretch>
                  </pic:blipFill>
                  <pic:spPr>
                    <a:xfrm>
                      <a:off x="0" y="0"/>
                      <a:ext cx="5633627" cy="3160585"/>
                    </a:xfrm>
                    <a:prstGeom prst="rect">
                      <a:avLst/>
                    </a:prstGeom>
                  </pic:spPr>
                </pic:pic>
              </a:graphicData>
            </a:graphic>
          </wp:anchor>
        </w:drawing>
      </w:r>
    </w:p>
    <w:p w14:paraId="70884DF7" w14:textId="77777777" w:rsidR="009F684B" w:rsidRDefault="009F684B" w:rsidP="00D43901">
      <w:pPr>
        <w:pStyle w:val="ListParagraph"/>
      </w:pPr>
    </w:p>
    <w:p w14:paraId="556F283B" w14:textId="77777777" w:rsidR="009F684B" w:rsidRPr="001014B3" w:rsidRDefault="009F684B" w:rsidP="00D43901">
      <w:pPr>
        <w:pStyle w:val="ListParagraph"/>
      </w:pPr>
    </w:p>
    <w:sectPr w:rsidR="009F684B" w:rsidRPr="001014B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FE77A" w14:textId="77777777" w:rsidR="00DB4839" w:rsidRDefault="00DB4839" w:rsidP="00B12988">
      <w:pPr>
        <w:spacing w:after="0" w:line="240" w:lineRule="auto"/>
      </w:pPr>
      <w:r>
        <w:separator/>
      </w:r>
    </w:p>
  </w:endnote>
  <w:endnote w:type="continuationSeparator" w:id="0">
    <w:p w14:paraId="43FE5B7B" w14:textId="77777777" w:rsidR="00DB4839" w:rsidRDefault="00DB4839" w:rsidP="00B1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9A57" w14:textId="77777777" w:rsidR="00DB4839" w:rsidRDefault="00DB4839" w:rsidP="00B12988">
      <w:pPr>
        <w:spacing w:after="0" w:line="240" w:lineRule="auto"/>
      </w:pPr>
      <w:r>
        <w:separator/>
      </w:r>
    </w:p>
  </w:footnote>
  <w:footnote w:type="continuationSeparator" w:id="0">
    <w:p w14:paraId="38591344" w14:textId="77777777" w:rsidR="00DB4839" w:rsidRDefault="00DB4839" w:rsidP="00B12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794915"/>
      <w:docPartObj>
        <w:docPartGallery w:val="Page Numbers (Top of Page)"/>
        <w:docPartUnique/>
      </w:docPartObj>
    </w:sdtPr>
    <w:sdtEndPr/>
    <w:sdtContent>
      <w:p w14:paraId="3C5BD711" w14:textId="50B209E1" w:rsidR="00B12988" w:rsidRDefault="00B12988">
        <w:pPr>
          <w:pStyle w:val="Header"/>
          <w:jc w:val="right"/>
        </w:pPr>
        <w:r>
          <w:fldChar w:fldCharType="begin"/>
        </w:r>
        <w:r>
          <w:instrText>PAGE   \* MERGEFORMAT</w:instrText>
        </w:r>
        <w:r>
          <w:fldChar w:fldCharType="separate"/>
        </w:r>
        <w:r>
          <w:t>2</w:t>
        </w:r>
        <w:r>
          <w:fldChar w:fldCharType="end"/>
        </w:r>
      </w:p>
    </w:sdtContent>
  </w:sdt>
  <w:p w14:paraId="5AB06DA9" w14:textId="77777777" w:rsidR="00B12988" w:rsidRDefault="00B12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03E"/>
    <w:multiLevelType w:val="hybridMultilevel"/>
    <w:tmpl w:val="921602CA"/>
    <w:lvl w:ilvl="0" w:tplc="94DC48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5B38B7"/>
    <w:multiLevelType w:val="hybridMultilevel"/>
    <w:tmpl w:val="753A9E96"/>
    <w:lvl w:ilvl="0" w:tplc="7388A2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4A3AC9"/>
    <w:multiLevelType w:val="hybridMultilevel"/>
    <w:tmpl w:val="3BF809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3E6BF6"/>
    <w:multiLevelType w:val="hybridMultilevel"/>
    <w:tmpl w:val="89C6D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E0184"/>
    <w:multiLevelType w:val="hybridMultilevel"/>
    <w:tmpl w:val="CC9887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B2BDB"/>
    <w:multiLevelType w:val="hybridMultilevel"/>
    <w:tmpl w:val="4064924E"/>
    <w:lvl w:ilvl="0" w:tplc="52480B88">
      <w:start w:val="2"/>
      <w:numFmt w:val="lowerLetter"/>
      <w:lvlText w:val="%1)"/>
      <w:lvlJc w:val="left"/>
      <w:pPr>
        <w:ind w:left="277" w:hanging="168"/>
      </w:pPr>
      <w:rPr>
        <w:rFonts w:ascii="Calibri" w:eastAsia="Calibri" w:hAnsi="Calibri" w:cs="Calibri" w:hint="default"/>
        <w:b w:val="0"/>
        <w:bCs w:val="0"/>
        <w:i w:val="0"/>
        <w:iCs w:val="0"/>
        <w:spacing w:val="-1"/>
        <w:w w:val="100"/>
        <w:sz w:val="16"/>
        <w:szCs w:val="16"/>
        <w:lang w:val="en-US" w:eastAsia="en-US" w:bidi="ar-SA"/>
      </w:rPr>
    </w:lvl>
    <w:lvl w:ilvl="1" w:tplc="DBDC38AC">
      <w:numFmt w:val="bullet"/>
      <w:lvlText w:val="•"/>
      <w:lvlJc w:val="left"/>
      <w:pPr>
        <w:ind w:left="700" w:hanging="168"/>
      </w:pPr>
      <w:rPr>
        <w:rFonts w:hint="default"/>
        <w:lang w:val="en-US" w:eastAsia="en-US" w:bidi="ar-SA"/>
      </w:rPr>
    </w:lvl>
    <w:lvl w:ilvl="2" w:tplc="A4D0673C">
      <w:numFmt w:val="bullet"/>
      <w:lvlText w:val="•"/>
      <w:lvlJc w:val="left"/>
      <w:pPr>
        <w:ind w:left="1121" w:hanging="168"/>
      </w:pPr>
      <w:rPr>
        <w:rFonts w:hint="default"/>
        <w:lang w:val="en-US" w:eastAsia="en-US" w:bidi="ar-SA"/>
      </w:rPr>
    </w:lvl>
    <w:lvl w:ilvl="3" w:tplc="038EC8D2">
      <w:numFmt w:val="bullet"/>
      <w:lvlText w:val="•"/>
      <w:lvlJc w:val="left"/>
      <w:pPr>
        <w:ind w:left="1542" w:hanging="168"/>
      </w:pPr>
      <w:rPr>
        <w:rFonts w:hint="default"/>
        <w:lang w:val="en-US" w:eastAsia="en-US" w:bidi="ar-SA"/>
      </w:rPr>
    </w:lvl>
    <w:lvl w:ilvl="4" w:tplc="A086CAEE">
      <w:numFmt w:val="bullet"/>
      <w:lvlText w:val="•"/>
      <w:lvlJc w:val="left"/>
      <w:pPr>
        <w:ind w:left="1962" w:hanging="168"/>
      </w:pPr>
      <w:rPr>
        <w:rFonts w:hint="default"/>
        <w:lang w:val="en-US" w:eastAsia="en-US" w:bidi="ar-SA"/>
      </w:rPr>
    </w:lvl>
    <w:lvl w:ilvl="5" w:tplc="BB04247E">
      <w:numFmt w:val="bullet"/>
      <w:lvlText w:val="•"/>
      <w:lvlJc w:val="left"/>
      <w:pPr>
        <w:ind w:left="2383" w:hanging="168"/>
      </w:pPr>
      <w:rPr>
        <w:rFonts w:hint="default"/>
        <w:lang w:val="en-US" w:eastAsia="en-US" w:bidi="ar-SA"/>
      </w:rPr>
    </w:lvl>
    <w:lvl w:ilvl="6" w:tplc="692AC8AA">
      <w:numFmt w:val="bullet"/>
      <w:lvlText w:val="•"/>
      <w:lvlJc w:val="left"/>
      <w:pPr>
        <w:ind w:left="2804" w:hanging="168"/>
      </w:pPr>
      <w:rPr>
        <w:rFonts w:hint="default"/>
        <w:lang w:val="en-US" w:eastAsia="en-US" w:bidi="ar-SA"/>
      </w:rPr>
    </w:lvl>
    <w:lvl w:ilvl="7" w:tplc="A718B232">
      <w:numFmt w:val="bullet"/>
      <w:lvlText w:val="•"/>
      <w:lvlJc w:val="left"/>
      <w:pPr>
        <w:ind w:left="3224" w:hanging="168"/>
      </w:pPr>
      <w:rPr>
        <w:rFonts w:hint="default"/>
        <w:lang w:val="en-US" w:eastAsia="en-US" w:bidi="ar-SA"/>
      </w:rPr>
    </w:lvl>
    <w:lvl w:ilvl="8" w:tplc="DEC4A9C4">
      <w:numFmt w:val="bullet"/>
      <w:lvlText w:val="•"/>
      <w:lvlJc w:val="left"/>
      <w:pPr>
        <w:ind w:left="3645" w:hanging="168"/>
      </w:pPr>
      <w:rPr>
        <w:rFonts w:hint="default"/>
        <w:lang w:val="en-US" w:eastAsia="en-US" w:bidi="ar-SA"/>
      </w:rPr>
    </w:lvl>
  </w:abstractNum>
  <w:abstractNum w:abstractNumId="6" w15:restartNumberingAfterBreak="0">
    <w:nsid w:val="18C32605"/>
    <w:multiLevelType w:val="hybridMultilevel"/>
    <w:tmpl w:val="A8AA0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F011A"/>
    <w:multiLevelType w:val="hybridMultilevel"/>
    <w:tmpl w:val="1EE0F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BB4501"/>
    <w:multiLevelType w:val="hybridMultilevel"/>
    <w:tmpl w:val="050A99A4"/>
    <w:lvl w:ilvl="0" w:tplc="CC64AD42">
      <w:start w:val="1"/>
      <w:numFmt w:val="lowerLetter"/>
      <w:lvlText w:val="%1)"/>
      <w:lvlJc w:val="left"/>
      <w:pPr>
        <w:ind w:left="269" w:hanging="161"/>
      </w:pPr>
      <w:rPr>
        <w:rFonts w:ascii="Calibri" w:eastAsia="Calibri" w:hAnsi="Calibri" w:cs="Calibri" w:hint="default"/>
        <w:b w:val="0"/>
        <w:bCs w:val="0"/>
        <w:i w:val="0"/>
        <w:iCs w:val="0"/>
        <w:spacing w:val="-1"/>
        <w:w w:val="100"/>
        <w:sz w:val="16"/>
        <w:szCs w:val="16"/>
        <w:lang w:val="en-US" w:eastAsia="en-US" w:bidi="ar-SA"/>
      </w:rPr>
    </w:lvl>
    <w:lvl w:ilvl="1" w:tplc="4308112E">
      <w:numFmt w:val="bullet"/>
      <w:lvlText w:val="•"/>
      <w:lvlJc w:val="left"/>
      <w:pPr>
        <w:ind w:left="682" w:hanging="161"/>
      </w:pPr>
      <w:rPr>
        <w:rFonts w:hint="default"/>
        <w:lang w:val="en-US" w:eastAsia="en-US" w:bidi="ar-SA"/>
      </w:rPr>
    </w:lvl>
    <w:lvl w:ilvl="2" w:tplc="6A64F710">
      <w:numFmt w:val="bullet"/>
      <w:lvlText w:val="•"/>
      <w:lvlJc w:val="left"/>
      <w:pPr>
        <w:ind w:left="1105" w:hanging="161"/>
      </w:pPr>
      <w:rPr>
        <w:rFonts w:hint="default"/>
        <w:lang w:val="en-US" w:eastAsia="en-US" w:bidi="ar-SA"/>
      </w:rPr>
    </w:lvl>
    <w:lvl w:ilvl="3" w:tplc="ABF45D7A">
      <w:numFmt w:val="bullet"/>
      <w:lvlText w:val="•"/>
      <w:lvlJc w:val="left"/>
      <w:pPr>
        <w:ind w:left="1528" w:hanging="161"/>
      </w:pPr>
      <w:rPr>
        <w:rFonts w:hint="default"/>
        <w:lang w:val="en-US" w:eastAsia="en-US" w:bidi="ar-SA"/>
      </w:rPr>
    </w:lvl>
    <w:lvl w:ilvl="4" w:tplc="6AC20154">
      <w:numFmt w:val="bullet"/>
      <w:lvlText w:val="•"/>
      <w:lvlJc w:val="left"/>
      <w:pPr>
        <w:ind w:left="1950" w:hanging="161"/>
      </w:pPr>
      <w:rPr>
        <w:rFonts w:hint="default"/>
        <w:lang w:val="en-US" w:eastAsia="en-US" w:bidi="ar-SA"/>
      </w:rPr>
    </w:lvl>
    <w:lvl w:ilvl="5" w:tplc="693ED7FA">
      <w:numFmt w:val="bullet"/>
      <w:lvlText w:val="•"/>
      <w:lvlJc w:val="left"/>
      <w:pPr>
        <w:ind w:left="2373" w:hanging="161"/>
      </w:pPr>
      <w:rPr>
        <w:rFonts w:hint="default"/>
        <w:lang w:val="en-US" w:eastAsia="en-US" w:bidi="ar-SA"/>
      </w:rPr>
    </w:lvl>
    <w:lvl w:ilvl="6" w:tplc="0914860A">
      <w:numFmt w:val="bullet"/>
      <w:lvlText w:val="•"/>
      <w:lvlJc w:val="left"/>
      <w:pPr>
        <w:ind w:left="2796" w:hanging="161"/>
      </w:pPr>
      <w:rPr>
        <w:rFonts w:hint="default"/>
        <w:lang w:val="en-US" w:eastAsia="en-US" w:bidi="ar-SA"/>
      </w:rPr>
    </w:lvl>
    <w:lvl w:ilvl="7" w:tplc="D5CCA88C">
      <w:numFmt w:val="bullet"/>
      <w:lvlText w:val="•"/>
      <w:lvlJc w:val="left"/>
      <w:pPr>
        <w:ind w:left="3218" w:hanging="161"/>
      </w:pPr>
      <w:rPr>
        <w:rFonts w:hint="default"/>
        <w:lang w:val="en-US" w:eastAsia="en-US" w:bidi="ar-SA"/>
      </w:rPr>
    </w:lvl>
    <w:lvl w:ilvl="8" w:tplc="8CB69054">
      <w:numFmt w:val="bullet"/>
      <w:lvlText w:val="•"/>
      <w:lvlJc w:val="left"/>
      <w:pPr>
        <w:ind w:left="3641" w:hanging="161"/>
      </w:pPr>
      <w:rPr>
        <w:rFonts w:hint="default"/>
        <w:lang w:val="en-US" w:eastAsia="en-US" w:bidi="ar-SA"/>
      </w:rPr>
    </w:lvl>
  </w:abstractNum>
  <w:abstractNum w:abstractNumId="9" w15:restartNumberingAfterBreak="0">
    <w:nsid w:val="1A3F1023"/>
    <w:multiLevelType w:val="hybridMultilevel"/>
    <w:tmpl w:val="CDF26A92"/>
    <w:lvl w:ilvl="0" w:tplc="023C2D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D021DEF"/>
    <w:multiLevelType w:val="hybridMultilevel"/>
    <w:tmpl w:val="1276B7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711C0D"/>
    <w:multiLevelType w:val="hybridMultilevel"/>
    <w:tmpl w:val="E3CE1A24"/>
    <w:lvl w:ilvl="0" w:tplc="151E6D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F1A5063"/>
    <w:multiLevelType w:val="hybridMultilevel"/>
    <w:tmpl w:val="6DA858F0"/>
    <w:lvl w:ilvl="0" w:tplc="F4CCD1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0592E40"/>
    <w:multiLevelType w:val="hybridMultilevel"/>
    <w:tmpl w:val="186438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856FD7"/>
    <w:multiLevelType w:val="hybridMultilevel"/>
    <w:tmpl w:val="B106BF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036836"/>
    <w:multiLevelType w:val="hybridMultilevel"/>
    <w:tmpl w:val="C1CAE526"/>
    <w:lvl w:ilvl="0" w:tplc="E534C290">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344EFC"/>
    <w:multiLevelType w:val="hybridMultilevel"/>
    <w:tmpl w:val="DF6A89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7150DE6"/>
    <w:multiLevelType w:val="hybridMultilevel"/>
    <w:tmpl w:val="63124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96B1BF3"/>
    <w:multiLevelType w:val="multilevel"/>
    <w:tmpl w:val="DBF273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322749"/>
    <w:multiLevelType w:val="hybridMultilevel"/>
    <w:tmpl w:val="1276B7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3D4E03"/>
    <w:multiLevelType w:val="hybridMultilevel"/>
    <w:tmpl w:val="69925E84"/>
    <w:lvl w:ilvl="0" w:tplc="E2AA4B48">
      <w:start w:val="1"/>
      <w:numFmt w:val="upp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19F4E78"/>
    <w:multiLevelType w:val="hybridMultilevel"/>
    <w:tmpl w:val="80386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81344F"/>
    <w:multiLevelType w:val="hybridMultilevel"/>
    <w:tmpl w:val="0194D420"/>
    <w:lvl w:ilvl="0" w:tplc="72242948">
      <w:start w:val="1"/>
      <w:numFmt w:val="lowerLetter"/>
      <w:lvlText w:val="%1)"/>
      <w:lvlJc w:val="left"/>
      <w:pPr>
        <w:ind w:left="829" w:hanging="361"/>
      </w:pPr>
      <w:rPr>
        <w:rFonts w:ascii="Calibri" w:eastAsia="Calibri" w:hAnsi="Calibri" w:cs="Calibri" w:hint="default"/>
        <w:b w:val="0"/>
        <w:bCs w:val="0"/>
        <w:i w:val="0"/>
        <w:iCs w:val="0"/>
        <w:spacing w:val="-1"/>
        <w:w w:val="100"/>
        <w:sz w:val="16"/>
        <w:szCs w:val="16"/>
        <w:lang w:val="en-US" w:eastAsia="en-US" w:bidi="ar-SA"/>
      </w:rPr>
    </w:lvl>
    <w:lvl w:ilvl="1" w:tplc="F53E1598">
      <w:numFmt w:val="bullet"/>
      <w:lvlText w:val="•"/>
      <w:lvlJc w:val="left"/>
      <w:pPr>
        <w:ind w:left="1186" w:hanging="361"/>
      </w:pPr>
      <w:rPr>
        <w:rFonts w:hint="default"/>
        <w:lang w:val="en-US" w:eastAsia="en-US" w:bidi="ar-SA"/>
      </w:rPr>
    </w:lvl>
    <w:lvl w:ilvl="2" w:tplc="ECC6240C">
      <w:numFmt w:val="bullet"/>
      <w:lvlText w:val="•"/>
      <w:lvlJc w:val="left"/>
      <w:pPr>
        <w:ind w:left="1553" w:hanging="361"/>
      </w:pPr>
      <w:rPr>
        <w:rFonts w:hint="default"/>
        <w:lang w:val="en-US" w:eastAsia="en-US" w:bidi="ar-SA"/>
      </w:rPr>
    </w:lvl>
    <w:lvl w:ilvl="3" w:tplc="5BBEF440">
      <w:numFmt w:val="bullet"/>
      <w:lvlText w:val="•"/>
      <w:lvlJc w:val="left"/>
      <w:pPr>
        <w:ind w:left="1920" w:hanging="361"/>
      </w:pPr>
      <w:rPr>
        <w:rFonts w:hint="default"/>
        <w:lang w:val="en-US" w:eastAsia="en-US" w:bidi="ar-SA"/>
      </w:rPr>
    </w:lvl>
    <w:lvl w:ilvl="4" w:tplc="F90A76AC">
      <w:numFmt w:val="bullet"/>
      <w:lvlText w:val="•"/>
      <w:lvlJc w:val="left"/>
      <w:pPr>
        <w:ind w:left="2286" w:hanging="361"/>
      </w:pPr>
      <w:rPr>
        <w:rFonts w:hint="default"/>
        <w:lang w:val="en-US" w:eastAsia="en-US" w:bidi="ar-SA"/>
      </w:rPr>
    </w:lvl>
    <w:lvl w:ilvl="5" w:tplc="2C88D458">
      <w:numFmt w:val="bullet"/>
      <w:lvlText w:val="•"/>
      <w:lvlJc w:val="left"/>
      <w:pPr>
        <w:ind w:left="2653" w:hanging="361"/>
      </w:pPr>
      <w:rPr>
        <w:rFonts w:hint="default"/>
        <w:lang w:val="en-US" w:eastAsia="en-US" w:bidi="ar-SA"/>
      </w:rPr>
    </w:lvl>
    <w:lvl w:ilvl="6" w:tplc="D87EDA2E">
      <w:numFmt w:val="bullet"/>
      <w:lvlText w:val="•"/>
      <w:lvlJc w:val="left"/>
      <w:pPr>
        <w:ind w:left="3020" w:hanging="361"/>
      </w:pPr>
      <w:rPr>
        <w:rFonts w:hint="default"/>
        <w:lang w:val="en-US" w:eastAsia="en-US" w:bidi="ar-SA"/>
      </w:rPr>
    </w:lvl>
    <w:lvl w:ilvl="7" w:tplc="D1066EC2">
      <w:numFmt w:val="bullet"/>
      <w:lvlText w:val="•"/>
      <w:lvlJc w:val="left"/>
      <w:pPr>
        <w:ind w:left="3386" w:hanging="361"/>
      </w:pPr>
      <w:rPr>
        <w:rFonts w:hint="default"/>
        <w:lang w:val="en-US" w:eastAsia="en-US" w:bidi="ar-SA"/>
      </w:rPr>
    </w:lvl>
    <w:lvl w:ilvl="8" w:tplc="7CD6B46E">
      <w:numFmt w:val="bullet"/>
      <w:lvlText w:val="•"/>
      <w:lvlJc w:val="left"/>
      <w:pPr>
        <w:ind w:left="3753" w:hanging="361"/>
      </w:pPr>
      <w:rPr>
        <w:rFonts w:hint="default"/>
        <w:lang w:val="en-US" w:eastAsia="en-US" w:bidi="ar-SA"/>
      </w:rPr>
    </w:lvl>
  </w:abstractNum>
  <w:abstractNum w:abstractNumId="23" w15:restartNumberingAfterBreak="0">
    <w:nsid w:val="34C64C00"/>
    <w:multiLevelType w:val="hybridMultilevel"/>
    <w:tmpl w:val="686C57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59F57EF"/>
    <w:multiLevelType w:val="hybridMultilevel"/>
    <w:tmpl w:val="768EB5EC"/>
    <w:lvl w:ilvl="0" w:tplc="05CE01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3BC0620D"/>
    <w:multiLevelType w:val="hybridMultilevel"/>
    <w:tmpl w:val="23C808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E8E1505"/>
    <w:multiLevelType w:val="hybridMultilevel"/>
    <w:tmpl w:val="678E2B52"/>
    <w:lvl w:ilvl="0" w:tplc="5E66C3D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0497719"/>
    <w:multiLevelType w:val="hybridMultilevel"/>
    <w:tmpl w:val="27C075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1E811DB"/>
    <w:multiLevelType w:val="hybridMultilevel"/>
    <w:tmpl w:val="48D8E52E"/>
    <w:lvl w:ilvl="0" w:tplc="5E2045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52D07D7"/>
    <w:multiLevelType w:val="hybridMultilevel"/>
    <w:tmpl w:val="F80226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906377E"/>
    <w:multiLevelType w:val="hybridMultilevel"/>
    <w:tmpl w:val="A518362A"/>
    <w:lvl w:ilvl="0" w:tplc="EFC0362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D696B28"/>
    <w:multiLevelType w:val="hybridMultilevel"/>
    <w:tmpl w:val="191A75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4DAB566F"/>
    <w:multiLevelType w:val="hybridMultilevel"/>
    <w:tmpl w:val="6FA2F198"/>
    <w:lvl w:ilvl="0" w:tplc="F62449D8">
      <w:start w:val="1"/>
      <w:numFmt w:val="lowerLetter"/>
      <w:lvlText w:val="%1)"/>
      <w:lvlJc w:val="left"/>
      <w:pPr>
        <w:ind w:left="269" w:hanging="161"/>
      </w:pPr>
      <w:rPr>
        <w:rFonts w:ascii="Calibri" w:eastAsia="Calibri" w:hAnsi="Calibri" w:cs="Calibri" w:hint="default"/>
        <w:b w:val="0"/>
        <w:bCs w:val="0"/>
        <w:i w:val="0"/>
        <w:iCs w:val="0"/>
        <w:spacing w:val="-1"/>
        <w:w w:val="100"/>
        <w:sz w:val="16"/>
        <w:szCs w:val="16"/>
        <w:lang w:val="en-US" w:eastAsia="en-US" w:bidi="ar-SA"/>
      </w:rPr>
    </w:lvl>
    <w:lvl w:ilvl="1" w:tplc="6368ED1C">
      <w:numFmt w:val="bullet"/>
      <w:lvlText w:val="•"/>
      <w:lvlJc w:val="left"/>
      <w:pPr>
        <w:ind w:left="682" w:hanging="161"/>
      </w:pPr>
      <w:rPr>
        <w:rFonts w:hint="default"/>
        <w:lang w:val="en-US" w:eastAsia="en-US" w:bidi="ar-SA"/>
      </w:rPr>
    </w:lvl>
    <w:lvl w:ilvl="2" w:tplc="E38E431C">
      <w:numFmt w:val="bullet"/>
      <w:lvlText w:val="•"/>
      <w:lvlJc w:val="left"/>
      <w:pPr>
        <w:ind w:left="1105" w:hanging="161"/>
      </w:pPr>
      <w:rPr>
        <w:rFonts w:hint="default"/>
        <w:lang w:val="en-US" w:eastAsia="en-US" w:bidi="ar-SA"/>
      </w:rPr>
    </w:lvl>
    <w:lvl w:ilvl="3" w:tplc="EB9A0EB0">
      <w:numFmt w:val="bullet"/>
      <w:lvlText w:val="•"/>
      <w:lvlJc w:val="left"/>
      <w:pPr>
        <w:ind w:left="1528" w:hanging="161"/>
      </w:pPr>
      <w:rPr>
        <w:rFonts w:hint="default"/>
        <w:lang w:val="en-US" w:eastAsia="en-US" w:bidi="ar-SA"/>
      </w:rPr>
    </w:lvl>
    <w:lvl w:ilvl="4" w:tplc="E7CAD54E">
      <w:numFmt w:val="bullet"/>
      <w:lvlText w:val="•"/>
      <w:lvlJc w:val="left"/>
      <w:pPr>
        <w:ind w:left="1950" w:hanging="161"/>
      </w:pPr>
      <w:rPr>
        <w:rFonts w:hint="default"/>
        <w:lang w:val="en-US" w:eastAsia="en-US" w:bidi="ar-SA"/>
      </w:rPr>
    </w:lvl>
    <w:lvl w:ilvl="5" w:tplc="A414359A">
      <w:numFmt w:val="bullet"/>
      <w:lvlText w:val="•"/>
      <w:lvlJc w:val="left"/>
      <w:pPr>
        <w:ind w:left="2373" w:hanging="161"/>
      </w:pPr>
      <w:rPr>
        <w:rFonts w:hint="default"/>
        <w:lang w:val="en-US" w:eastAsia="en-US" w:bidi="ar-SA"/>
      </w:rPr>
    </w:lvl>
    <w:lvl w:ilvl="6" w:tplc="A406E8CE">
      <w:numFmt w:val="bullet"/>
      <w:lvlText w:val="•"/>
      <w:lvlJc w:val="left"/>
      <w:pPr>
        <w:ind w:left="2796" w:hanging="161"/>
      </w:pPr>
      <w:rPr>
        <w:rFonts w:hint="default"/>
        <w:lang w:val="en-US" w:eastAsia="en-US" w:bidi="ar-SA"/>
      </w:rPr>
    </w:lvl>
    <w:lvl w:ilvl="7" w:tplc="B01CCE76">
      <w:numFmt w:val="bullet"/>
      <w:lvlText w:val="•"/>
      <w:lvlJc w:val="left"/>
      <w:pPr>
        <w:ind w:left="3218" w:hanging="161"/>
      </w:pPr>
      <w:rPr>
        <w:rFonts w:hint="default"/>
        <w:lang w:val="en-US" w:eastAsia="en-US" w:bidi="ar-SA"/>
      </w:rPr>
    </w:lvl>
    <w:lvl w:ilvl="8" w:tplc="2EAC0B08">
      <w:numFmt w:val="bullet"/>
      <w:lvlText w:val="•"/>
      <w:lvlJc w:val="left"/>
      <w:pPr>
        <w:ind w:left="3641" w:hanging="161"/>
      </w:pPr>
      <w:rPr>
        <w:rFonts w:hint="default"/>
        <w:lang w:val="en-US" w:eastAsia="en-US" w:bidi="ar-SA"/>
      </w:rPr>
    </w:lvl>
  </w:abstractNum>
  <w:abstractNum w:abstractNumId="33" w15:restartNumberingAfterBreak="0">
    <w:nsid w:val="4DC84140"/>
    <w:multiLevelType w:val="hybridMultilevel"/>
    <w:tmpl w:val="B8BCA28A"/>
    <w:lvl w:ilvl="0" w:tplc="C05E70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E096997"/>
    <w:multiLevelType w:val="hybridMultilevel"/>
    <w:tmpl w:val="67FA70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4F3B473F"/>
    <w:multiLevelType w:val="hybridMultilevel"/>
    <w:tmpl w:val="E0604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7D07DF6"/>
    <w:multiLevelType w:val="hybridMultilevel"/>
    <w:tmpl w:val="3A24FA58"/>
    <w:lvl w:ilvl="0" w:tplc="CDE080B2">
      <w:start w:val="7"/>
      <w:numFmt w:val="lowerLetter"/>
      <w:lvlText w:val="%1)"/>
      <w:lvlJc w:val="left"/>
      <w:pPr>
        <w:ind w:left="269" w:hanging="161"/>
      </w:pPr>
      <w:rPr>
        <w:rFonts w:ascii="Calibri" w:eastAsia="Calibri" w:hAnsi="Calibri" w:cs="Calibri" w:hint="default"/>
        <w:b w:val="0"/>
        <w:bCs w:val="0"/>
        <w:i w:val="0"/>
        <w:iCs w:val="0"/>
        <w:spacing w:val="0"/>
        <w:w w:val="100"/>
        <w:sz w:val="16"/>
        <w:szCs w:val="16"/>
        <w:lang w:val="en-US" w:eastAsia="en-US" w:bidi="ar-SA"/>
      </w:rPr>
    </w:lvl>
    <w:lvl w:ilvl="1" w:tplc="B5D8A712">
      <w:numFmt w:val="bullet"/>
      <w:lvlText w:val="•"/>
      <w:lvlJc w:val="left"/>
      <w:pPr>
        <w:ind w:left="682" w:hanging="161"/>
      </w:pPr>
      <w:rPr>
        <w:rFonts w:hint="default"/>
        <w:lang w:val="en-US" w:eastAsia="en-US" w:bidi="ar-SA"/>
      </w:rPr>
    </w:lvl>
    <w:lvl w:ilvl="2" w:tplc="ED686BEC">
      <w:numFmt w:val="bullet"/>
      <w:lvlText w:val="•"/>
      <w:lvlJc w:val="left"/>
      <w:pPr>
        <w:ind w:left="1105" w:hanging="161"/>
      </w:pPr>
      <w:rPr>
        <w:rFonts w:hint="default"/>
        <w:lang w:val="en-US" w:eastAsia="en-US" w:bidi="ar-SA"/>
      </w:rPr>
    </w:lvl>
    <w:lvl w:ilvl="3" w:tplc="D3CA771A">
      <w:numFmt w:val="bullet"/>
      <w:lvlText w:val="•"/>
      <w:lvlJc w:val="left"/>
      <w:pPr>
        <w:ind w:left="1528" w:hanging="161"/>
      </w:pPr>
      <w:rPr>
        <w:rFonts w:hint="default"/>
        <w:lang w:val="en-US" w:eastAsia="en-US" w:bidi="ar-SA"/>
      </w:rPr>
    </w:lvl>
    <w:lvl w:ilvl="4" w:tplc="AB80D5CC">
      <w:numFmt w:val="bullet"/>
      <w:lvlText w:val="•"/>
      <w:lvlJc w:val="left"/>
      <w:pPr>
        <w:ind w:left="1950" w:hanging="161"/>
      </w:pPr>
      <w:rPr>
        <w:rFonts w:hint="default"/>
        <w:lang w:val="en-US" w:eastAsia="en-US" w:bidi="ar-SA"/>
      </w:rPr>
    </w:lvl>
    <w:lvl w:ilvl="5" w:tplc="790C43CE">
      <w:numFmt w:val="bullet"/>
      <w:lvlText w:val="•"/>
      <w:lvlJc w:val="left"/>
      <w:pPr>
        <w:ind w:left="2373" w:hanging="161"/>
      </w:pPr>
      <w:rPr>
        <w:rFonts w:hint="default"/>
        <w:lang w:val="en-US" w:eastAsia="en-US" w:bidi="ar-SA"/>
      </w:rPr>
    </w:lvl>
    <w:lvl w:ilvl="6" w:tplc="8E6C6790">
      <w:numFmt w:val="bullet"/>
      <w:lvlText w:val="•"/>
      <w:lvlJc w:val="left"/>
      <w:pPr>
        <w:ind w:left="2796" w:hanging="161"/>
      </w:pPr>
      <w:rPr>
        <w:rFonts w:hint="default"/>
        <w:lang w:val="en-US" w:eastAsia="en-US" w:bidi="ar-SA"/>
      </w:rPr>
    </w:lvl>
    <w:lvl w:ilvl="7" w:tplc="961064C0">
      <w:numFmt w:val="bullet"/>
      <w:lvlText w:val="•"/>
      <w:lvlJc w:val="left"/>
      <w:pPr>
        <w:ind w:left="3218" w:hanging="161"/>
      </w:pPr>
      <w:rPr>
        <w:rFonts w:hint="default"/>
        <w:lang w:val="en-US" w:eastAsia="en-US" w:bidi="ar-SA"/>
      </w:rPr>
    </w:lvl>
    <w:lvl w:ilvl="8" w:tplc="9DD0BB34">
      <w:numFmt w:val="bullet"/>
      <w:lvlText w:val="•"/>
      <w:lvlJc w:val="left"/>
      <w:pPr>
        <w:ind w:left="3641" w:hanging="161"/>
      </w:pPr>
      <w:rPr>
        <w:rFonts w:hint="default"/>
        <w:lang w:val="en-US" w:eastAsia="en-US" w:bidi="ar-SA"/>
      </w:rPr>
    </w:lvl>
  </w:abstractNum>
  <w:abstractNum w:abstractNumId="37" w15:restartNumberingAfterBreak="0">
    <w:nsid w:val="58E63479"/>
    <w:multiLevelType w:val="hybridMultilevel"/>
    <w:tmpl w:val="6E482B76"/>
    <w:lvl w:ilvl="0" w:tplc="BDE44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8E939EE"/>
    <w:multiLevelType w:val="hybridMultilevel"/>
    <w:tmpl w:val="F9EA4EC8"/>
    <w:lvl w:ilvl="0" w:tplc="0A6AF7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9C52AF6"/>
    <w:multiLevelType w:val="multilevel"/>
    <w:tmpl w:val="B89CC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13429C"/>
    <w:multiLevelType w:val="hybridMultilevel"/>
    <w:tmpl w:val="4C6C445E"/>
    <w:lvl w:ilvl="0" w:tplc="4DAE7E9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476A64"/>
    <w:multiLevelType w:val="hybridMultilevel"/>
    <w:tmpl w:val="3BF80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A11D4C"/>
    <w:multiLevelType w:val="hybridMultilevel"/>
    <w:tmpl w:val="3356F6F4"/>
    <w:lvl w:ilvl="0" w:tplc="55C868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9884942"/>
    <w:multiLevelType w:val="hybridMultilevel"/>
    <w:tmpl w:val="CAB2B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32658A"/>
    <w:multiLevelType w:val="hybridMultilevel"/>
    <w:tmpl w:val="4572B570"/>
    <w:lvl w:ilvl="0" w:tplc="901ACF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6DDF5A84"/>
    <w:multiLevelType w:val="hybridMultilevel"/>
    <w:tmpl w:val="3D82FA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6E2B3406"/>
    <w:multiLevelType w:val="hybridMultilevel"/>
    <w:tmpl w:val="73BEE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38E6D98"/>
    <w:multiLevelType w:val="hybridMultilevel"/>
    <w:tmpl w:val="28F83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8837FB1"/>
    <w:multiLevelType w:val="hybridMultilevel"/>
    <w:tmpl w:val="C17652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1238733">
    <w:abstractNumId w:val="18"/>
  </w:num>
  <w:num w:numId="2" w16cid:durableId="64184605">
    <w:abstractNumId w:val="32"/>
  </w:num>
  <w:num w:numId="3" w16cid:durableId="1597060705">
    <w:abstractNumId w:val="8"/>
  </w:num>
  <w:num w:numId="4" w16cid:durableId="1339581599">
    <w:abstractNumId w:val="36"/>
  </w:num>
  <w:num w:numId="5" w16cid:durableId="1060055668">
    <w:abstractNumId w:val="5"/>
  </w:num>
  <w:num w:numId="6" w16cid:durableId="1494566900">
    <w:abstractNumId w:val="22"/>
  </w:num>
  <w:num w:numId="7" w16cid:durableId="1903564581">
    <w:abstractNumId w:val="41"/>
  </w:num>
  <w:num w:numId="8" w16cid:durableId="1674407420">
    <w:abstractNumId w:val="2"/>
  </w:num>
  <w:num w:numId="9" w16cid:durableId="2140418444">
    <w:abstractNumId w:val="7"/>
  </w:num>
  <w:num w:numId="10" w16cid:durableId="1628928634">
    <w:abstractNumId w:val="15"/>
  </w:num>
  <w:num w:numId="11" w16cid:durableId="259217717">
    <w:abstractNumId w:val="19"/>
  </w:num>
  <w:num w:numId="12" w16cid:durableId="259723585">
    <w:abstractNumId w:val="10"/>
  </w:num>
  <w:num w:numId="13" w16cid:durableId="967393813">
    <w:abstractNumId w:val="48"/>
  </w:num>
  <w:num w:numId="14" w16cid:durableId="2015646709">
    <w:abstractNumId w:val="42"/>
  </w:num>
  <w:num w:numId="15" w16cid:durableId="2129734232">
    <w:abstractNumId w:val="28"/>
  </w:num>
  <w:num w:numId="16" w16cid:durableId="624196107">
    <w:abstractNumId w:val="44"/>
  </w:num>
  <w:num w:numId="17" w16cid:durableId="1393188120">
    <w:abstractNumId w:val="40"/>
  </w:num>
  <w:num w:numId="18" w16cid:durableId="152455840">
    <w:abstractNumId w:val="26"/>
  </w:num>
  <w:num w:numId="19" w16cid:durableId="77993511">
    <w:abstractNumId w:val="24"/>
  </w:num>
  <w:num w:numId="20" w16cid:durableId="569462623">
    <w:abstractNumId w:val="39"/>
  </w:num>
  <w:num w:numId="21" w16cid:durableId="1957254739">
    <w:abstractNumId w:val="20"/>
  </w:num>
  <w:num w:numId="22" w16cid:durableId="632174618">
    <w:abstractNumId w:val="30"/>
  </w:num>
  <w:num w:numId="23" w16cid:durableId="1412776983">
    <w:abstractNumId w:val="43"/>
  </w:num>
  <w:num w:numId="24" w16cid:durableId="835807265">
    <w:abstractNumId w:val="6"/>
  </w:num>
  <w:num w:numId="25" w16cid:durableId="1026519407">
    <w:abstractNumId w:val="38"/>
  </w:num>
  <w:num w:numId="26" w16cid:durableId="562760209">
    <w:abstractNumId w:val="31"/>
  </w:num>
  <w:num w:numId="27" w16cid:durableId="1220479168">
    <w:abstractNumId w:val="34"/>
  </w:num>
  <w:num w:numId="28" w16cid:durableId="1416703975">
    <w:abstractNumId w:val="45"/>
  </w:num>
  <w:num w:numId="29" w16cid:durableId="576480639">
    <w:abstractNumId w:val="3"/>
  </w:num>
  <w:num w:numId="30" w16cid:durableId="1996183795">
    <w:abstractNumId w:val="21"/>
  </w:num>
  <w:num w:numId="31" w16cid:durableId="1444389">
    <w:abstractNumId w:val="37"/>
  </w:num>
  <w:num w:numId="32" w16cid:durableId="1269240971">
    <w:abstractNumId w:val="27"/>
  </w:num>
  <w:num w:numId="33" w16cid:durableId="11342946">
    <w:abstractNumId w:val="1"/>
  </w:num>
  <w:num w:numId="34" w16cid:durableId="1718897543">
    <w:abstractNumId w:val="0"/>
  </w:num>
  <w:num w:numId="35" w16cid:durableId="1260410719">
    <w:abstractNumId w:val="4"/>
  </w:num>
  <w:num w:numId="36" w16cid:durableId="1717772397">
    <w:abstractNumId w:val="16"/>
  </w:num>
  <w:num w:numId="37" w16cid:durableId="47654319">
    <w:abstractNumId w:val="47"/>
  </w:num>
  <w:num w:numId="38" w16cid:durableId="2015110493">
    <w:abstractNumId w:val="13"/>
  </w:num>
  <w:num w:numId="39" w16cid:durableId="472337062">
    <w:abstractNumId w:val="12"/>
  </w:num>
  <w:num w:numId="40" w16cid:durableId="1674337780">
    <w:abstractNumId w:val="14"/>
  </w:num>
  <w:num w:numId="41" w16cid:durableId="1126698342">
    <w:abstractNumId w:val="29"/>
  </w:num>
  <w:num w:numId="42" w16cid:durableId="367951099">
    <w:abstractNumId w:val="9"/>
  </w:num>
  <w:num w:numId="43" w16cid:durableId="978992827">
    <w:abstractNumId w:val="35"/>
  </w:num>
  <w:num w:numId="44" w16cid:durableId="1447120792">
    <w:abstractNumId w:val="25"/>
  </w:num>
  <w:num w:numId="45" w16cid:durableId="1765950664">
    <w:abstractNumId w:val="46"/>
  </w:num>
  <w:num w:numId="46" w16cid:durableId="1519275680">
    <w:abstractNumId w:val="17"/>
  </w:num>
  <w:num w:numId="47" w16cid:durableId="1510220224">
    <w:abstractNumId w:val="11"/>
  </w:num>
  <w:num w:numId="48" w16cid:durableId="949432084">
    <w:abstractNumId w:val="33"/>
  </w:num>
  <w:num w:numId="49" w16cid:durableId="11510256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88"/>
    <w:rsid w:val="00003116"/>
    <w:rsid w:val="00005395"/>
    <w:rsid w:val="0001372B"/>
    <w:rsid w:val="0004713B"/>
    <w:rsid w:val="00050885"/>
    <w:rsid w:val="00054772"/>
    <w:rsid w:val="00063556"/>
    <w:rsid w:val="000724B6"/>
    <w:rsid w:val="00092A50"/>
    <w:rsid w:val="000D5748"/>
    <w:rsid w:val="001014B3"/>
    <w:rsid w:val="00105B45"/>
    <w:rsid w:val="0012253F"/>
    <w:rsid w:val="00125508"/>
    <w:rsid w:val="00166103"/>
    <w:rsid w:val="001730E2"/>
    <w:rsid w:val="00180A62"/>
    <w:rsid w:val="00191FD2"/>
    <w:rsid w:val="00195F38"/>
    <w:rsid w:val="001C2E03"/>
    <w:rsid w:val="001F3C5E"/>
    <w:rsid w:val="002202E9"/>
    <w:rsid w:val="00235A4B"/>
    <w:rsid w:val="0026444B"/>
    <w:rsid w:val="00264B22"/>
    <w:rsid w:val="0027563B"/>
    <w:rsid w:val="002D3F9B"/>
    <w:rsid w:val="002E372F"/>
    <w:rsid w:val="002E5932"/>
    <w:rsid w:val="0031098C"/>
    <w:rsid w:val="00313CD1"/>
    <w:rsid w:val="00320825"/>
    <w:rsid w:val="003332EC"/>
    <w:rsid w:val="003374F8"/>
    <w:rsid w:val="00337FA4"/>
    <w:rsid w:val="00351EEC"/>
    <w:rsid w:val="00352013"/>
    <w:rsid w:val="00356A3F"/>
    <w:rsid w:val="00370117"/>
    <w:rsid w:val="003755FD"/>
    <w:rsid w:val="003C2E12"/>
    <w:rsid w:val="003C4B73"/>
    <w:rsid w:val="003C62DE"/>
    <w:rsid w:val="003C716B"/>
    <w:rsid w:val="003C7267"/>
    <w:rsid w:val="003D3001"/>
    <w:rsid w:val="00445889"/>
    <w:rsid w:val="00450FC2"/>
    <w:rsid w:val="0046658E"/>
    <w:rsid w:val="00474FB1"/>
    <w:rsid w:val="00482015"/>
    <w:rsid w:val="004845E5"/>
    <w:rsid w:val="00492F56"/>
    <w:rsid w:val="00495DA7"/>
    <w:rsid w:val="004A0C15"/>
    <w:rsid w:val="004B776C"/>
    <w:rsid w:val="004C022B"/>
    <w:rsid w:val="004C5A60"/>
    <w:rsid w:val="004D7A3E"/>
    <w:rsid w:val="00502893"/>
    <w:rsid w:val="005118A1"/>
    <w:rsid w:val="00544D8D"/>
    <w:rsid w:val="00564B43"/>
    <w:rsid w:val="005651DC"/>
    <w:rsid w:val="00570649"/>
    <w:rsid w:val="00576804"/>
    <w:rsid w:val="00580D76"/>
    <w:rsid w:val="00580DA7"/>
    <w:rsid w:val="0058208B"/>
    <w:rsid w:val="00585160"/>
    <w:rsid w:val="005E238A"/>
    <w:rsid w:val="005F3AC0"/>
    <w:rsid w:val="005F5590"/>
    <w:rsid w:val="00600DFC"/>
    <w:rsid w:val="00606F60"/>
    <w:rsid w:val="00617D32"/>
    <w:rsid w:val="00641894"/>
    <w:rsid w:val="00663AE1"/>
    <w:rsid w:val="00666DC6"/>
    <w:rsid w:val="006804F2"/>
    <w:rsid w:val="00692A3F"/>
    <w:rsid w:val="006B119A"/>
    <w:rsid w:val="006C4B19"/>
    <w:rsid w:val="006D7681"/>
    <w:rsid w:val="006E5606"/>
    <w:rsid w:val="006F3282"/>
    <w:rsid w:val="007020D7"/>
    <w:rsid w:val="00717AD9"/>
    <w:rsid w:val="00724370"/>
    <w:rsid w:val="0074030E"/>
    <w:rsid w:val="00751B07"/>
    <w:rsid w:val="007663AE"/>
    <w:rsid w:val="0078314C"/>
    <w:rsid w:val="00786278"/>
    <w:rsid w:val="007940F1"/>
    <w:rsid w:val="00794B71"/>
    <w:rsid w:val="007B0B8E"/>
    <w:rsid w:val="007C5E97"/>
    <w:rsid w:val="007D487E"/>
    <w:rsid w:val="00841EBD"/>
    <w:rsid w:val="008512AB"/>
    <w:rsid w:val="00854F2B"/>
    <w:rsid w:val="00855400"/>
    <w:rsid w:val="00867848"/>
    <w:rsid w:val="00896AD1"/>
    <w:rsid w:val="008A2DB9"/>
    <w:rsid w:val="008A4D6F"/>
    <w:rsid w:val="008A603C"/>
    <w:rsid w:val="008E3BCC"/>
    <w:rsid w:val="008F7D59"/>
    <w:rsid w:val="00900138"/>
    <w:rsid w:val="00963753"/>
    <w:rsid w:val="00997608"/>
    <w:rsid w:val="009A1C40"/>
    <w:rsid w:val="009A6D76"/>
    <w:rsid w:val="009D5B16"/>
    <w:rsid w:val="009F684B"/>
    <w:rsid w:val="00A00F9C"/>
    <w:rsid w:val="00A02773"/>
    <w:rsid w:val="00A153DB"/>
    <w:rsid w:val="00A37938"/>
    <w:rsid w:val="00A43160"/>
    <w:rsid w:val="00A5346C"/>
    <w:rsid w:val="00A75FBD"/>
    <w:rsid w:val="00A8025C"/>
    <w:rsid w:val="00A8179C"/>
    <w:rsid w:val="00A91531"/>
    <w:rsid w:val="00A9448F"/>
    <w:rsid w:val="00AB4CA9"/>
    <w:rsid w:val="00AB6503"/>
    <w:rsid w:val="00AC2CBE"/>
    <w:rsid w:val="00AD1206"/>
    <w:rsid w:val="00B12988"/>
    <w:rsid w:val="00B14EA8"/>
    <w:rsid w:val="00B22006"/>
    <w:rsid w:val="00B31867"/>
    <w:rsid w:val="00B6053A"/>
    <w:rsid w:val="00B778C3"/>
    <w:rsid w:val="00B97268"/>
    <w:rsid w:val="00BE4C16"/>
    <w:rsid w:val="00C12A24"/>
    <w:rsid w:val="00C25D4B"/>
    <w:rsid w:val="00C42D86"/>
    <w:rsid w:val="00C50619"/>
    <w:rsid w:val="00C64A45"/>
    <w:rsid w:val="00C71805"/>
    <w:rsid w:val="00C759B8"/>
    <w:rsid w:val="00C87C7F"/>
    <w:rsid w:val="00C91663"/>
    <w:rsid w:val="00C952D0"/>
    <w:rsid w:val="00C96CB2"/>
    <w:rsid w:val="00CB75ED"/>
    <w:rsid w:val="00CD097E"/>
    <w:rsid w:val="00CD6204"/>
    <w:rsid w:val="00D04060"/>
    <w:rsid w:val="00D04321"/>
    <w:rsid w:val="00D32317"/>
    <w:rsid w:val="00D43756"/>
    <w:rsid w:val="00D43901"/>
    <w:rsid w:val="00D4679F"/>
    <w:rsid w:val="00D54D65"/>
    <w:rsid w:val="00D80351"/>
    <w:rsid w:val="00D95EB6"/>
    <w:rsid w:val="00DB4839"/>
    <w:rsid w:val="00DB757E"/>
    <w:rsid w:val="00DE0F22"/>
    <w:rsid w:val="00DE40C6"/>
    <w:rsid w:val="00DF47D4"/>
    <w:rsid w:val="00DF4B83"/>
    <w:rsid w:val="00E03445"/>
    <w:rsid w:val="00E16F5B"/>
    <w:rsid w:val="00E2784C"/>
    <w:rsid w:val="00E33440"/>
    <w:rsid w:val="00E33B42"/>
    <w:rsid w:val="00E37F1A"/>
    <w:rsid w:val="00E604BE"/>
    <w:rsid w:val="00E61547"/>
    <w:rsid w:val="00E62C49"/>
    <w:rsid w:val="00E7022F"/>
    <w:rsid w:val="00E73B70"/>
    <w:rsid w:val="00E76A4F"/>
    <w:rsid w:val="00E85C22"/>
    <w:rsid w:val="00E9669E"/>
    <w:rsid w:val="00EB3DC8"/>
    <w:rsid w:val="00EC120E"/>
    <w:rsid w:val="00ED00CF"/>
    <w:rsid w:val="00EE1CCE"/>
    <w:rsid w:val="00EF4C69"/>
    <w:rsid w:val="00EF4D2B"/>
    <w:rsid w:val="00F02811"/>
    <w:rsid w:val="00F03C35"/>
    <w:rsid w:val="00F066B3"/>
    <w:rsid w:val="00F06FA3"/>
    <w:rsid w:val="00F125B9"/>
    <w:rsid w:val="00F370E0"/>
    <w:rsid w:val="00F46C4A"/>
    <w:rsid w:val="00F54FC5"/>
    <w:rsid w:val="00F716A9"/>
    <w:rsid w:val="00F8095F"/>
    <w:rsid w:val="00FB09D2"/>
    <w:rsid w:val="00FB1D64"/>
    <w:rsid w:val="00FB6495"/>
    <w:rsid w:val="00FD0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51A9"/>
  <w15:chartTrackingRefBased/>
  <w15:docId w15:val="{D47422AA-F68F-45A9-8C4A-B246B71F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9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9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9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9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9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9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988"/>
    <w:rPr>
      <w:rFonts w:eastAsiaTheme="majorEastAsia" w:cstheme="majorBidi"/>
      <w:color w:val="272727" w:themeColor="text1" w:themeTint="D8"/>
    </w:rPr>
  </w:style>
  <w:style w:type="paragraph" w:styleId="Title">
    <w:name w:val="Title"/>
    <w:basedOn w:val="Normal"/>
    <w:next w:val="Normal"/>
    <w:link w:val="TitleChar"/>
    <w:uiPriority w:val="10"/>
    <w:qFormat/>
    <w:rsid w:val="00B12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988"/>
    <w:pPr>
      <w:spacing w:before="160"/>
      <w:jc w:val="center"/>
    </w:pPr>
    <w:rPr>
      <w:i/>
      <w:iCs/>
      <w:color w:val="404040" w:themeColor="text1" w:themeTint="BF"/>
    </w:rPr>
  </w:style>
  <w:style w:type="character" w:customStyle="1" w:styleId="QuoteChar">
    <w:name w:val="Quote Char"/>
    <w:basedOn w:val="DefaultParagraphFont"/>
    <w:link w:val="Quote"/>
    <w:uiPriority w:val="29"/>
    <w:rsid w:val="00B12988"/>
    <w:rPr>
      <w:i/>
      <w:iCs/>
      <w:color w:val="404040" w:themeColor="text1" w:themeTint="BF"/>
    </w:rPr>
  </w:style>
  <w:style w:type="paragraph" w:styleId="ListParagraph">
    <w:name w:val="List Paragraph"/>
    <w:basedOn w:val="Normal"/>
    <w:uiPriority w:val="34"/>
    <w:qFormat/>
    <w:rsid w:val="00B12988"/>
    <w:pPr>
      <w:ind w:left="720"/>
      <w:contextualSpacing/>
    </w:pPr>
  </w:style>
  <w:style w:type="character" w:styleId="IntenseEmphasis">
    <w:name w:val="Intense Emphasis"/>
    <w:basedOn w:val="DefaultParagraphFont"/>
    <w:uiPriority w:val="21"/>
    <w:qFormat/>
    <w:rsid w:val="00B12988"/>
    <w:rPr>
      <w:i/>
      <w:iCs/>
      <w:color w:val="0F4761" w:themeColor="accent1" w:themeShade="BF"/>
    </w:rPr>
  </w:style>
  <w:style w:type="paragraph" w:styleId="IntenseQuote">
    <w:name w:val="Intense Quote"/>
    <w:basedOn w:val="Normal"/>
    <w:next w:val="Normal"/>
    <w:link w:val="IntenseQuoteChar"/>
    <w:uiPriority w:val="30"/>
    <w:qFormat/>
    <w:rsid w:val="00B12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988"/>
    <w:rPr>
      <w:i/>
      <w:iCs/>
      <w:color w:val="0F4761" w:themeColor="accent1" w:themeShade="BF"/>
    </w:rPr>
  </w:style>
  <w:style w:type="character" w:styleId="IntenseReference">
    <w:name w:val="Intense Reference"/>
    <w:basedOn w:val="DefaultParagraphFont"/>
    <w:uiPriority w:val="32"/>
    <w:qFormat/>
    <w:rsid w:val="00B12988"/>
    <w:rPr>
      <w:b/>
      <w:bCs/>
      <w:smallCaps/>
      <w:color w:val="0F4761" w:themeColor="accent1" w:themeShade="BF"/>
      <w:spacing w:val="5"/>
    </w:rPr>
  </w:style>
  <w:style w:type="paragraph" w:styleId="Header">
    <w:name w:val="header"/>
    <w:basedOn w:val="Normal"/>
    <w:link w:val="HeaderChar"/>
    <w:uiPriority w:val="99"/>
    <w:unhideWhenUsed/>
    <w:rsid w:val="00B12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988"/>
  </w:style>
  <w:style w:type="paragraph" w:styleId="Footer">
    <w:name w:val="footer"/>
    <w:basedOn w:val="Normal"/>
    <w:link w:val="FooterChar"/>
    <w:uiPriority w:val="99"/>
    <w:unhideWhenUsed/>
    <w:rsid w:val="00B12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988"/>
  </w:style>
  <w:style w:type="paragraph" w:styleId="NoSpacing">
    <w:name w:val="No Spacing"/>
    <w:uiPriority w:val="1"/>
    <w:qFormat/>
    <w:rsid w:val="00B12988"/>
    <w:pPr>
      <w:spacing w:after="0" w:line="240" w:lineRule="auto"/>
    </w:pPr>
  </w:style>
  <w:style w:type="table" w:styleId="TableGrid">
    <w:name w:val="Table Grid"/>
    <w:basedOn w:val="TableNormal"/>
    <w:uiPriority w:val="39"/>
    <w:rsid w:val="00E96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669E"/>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963753"/>
    <w:pPr>
      <w:spacing w:after="100"/>
    </w:pPr>
  </w:style>
  <w:style w:type="character" w:styleId="Hyperlink">
    <w:name w:val="Hyperlink"/>
    <w:basedOn w:val="DefaultParagraphFont"/>
    <w:uiPriority w:val="99"/>
    <w:unhideWhenUsed/>
    <w:rsid w:val="00963753"/>
    <w:rPr>
      <w:color w:val="467886" w:themeColor="hyperlink"/>
      <w:u w:val="single"/>
    </w:rPr>
  </w:style>
  <w:style w:type="paragraph" w:customStyle="1" w:styleId="TableParagraph">
    <w:name w:val="Table Paragraph"/>
    <w:basedOn w:val="Normal"/>
    <w:uiPriority w:val="1"/>
    <w:qFormat/>
    <w:rsid w:val="00963753"/>
    <w:pPr>
      <w:widowControl w:val="0"/>
      <w:autoSpaceDE w:val="0"/>
      <w:autoSpaceDN w:val="0"/>
      <w:spacing w:after="0" w:line="240" w:lineRule="auto"/>
      <w:ind w:left="107"/>
    </w:pPr>
    <w:rPr>
      <w:rFonts w:ascii="Calibri" w:eastAsia="Calibri" w:hAnsi="Calibri" w:cs="Calibri"/>
      <w:kern w:val="0"/>
      <w:sz w:val="22"/>
      <w:szCs w:val="22"/>
      <w14:ligatures w14:val="none"/>
    </w:rPr>
  </w:style>
  <w:style w:type="paragraph" w:styleId="BodyText">
    <w:name w:val="Body Text"/>
    <w:basedOn w:val="Normal"/>
    <w:link w:val="BodyTextChar"/>
    <w:uiPriority w:val="1"/>
    <w:qFormat/>
    <w:rsid w:val="00C759B8"/>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C759B8"/>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280">
      <w:bodyDiv w:val="1"/>
      <w:marLeft w:val="0"/>
      <w:marRight w:val="0"/>
      <w:marTop w:val="0"/>
      <w:marBottom w:val="0"/>
      <w:divBdr>
        <w:top w:val="none" w:sz="0" w:space="0" w:color="auto"/>
        <w:left w:val="none" w:sz="0" w:space="0" w:color="auto"/>
        <w:bottom w:val="none" w:sz="0" w:space="0" w:color="auto"/>
        <w:right w:val="none" w:sz="0" w:space="0" w:color="auto"/>
      </w:divBdr>
    </w:div>
    <w:div w:id="44917349">
      <w:bodyDiv w:val="1"/>
      <w:marLeft w:val="0"/>
      <w:marRight w:val="0"/>
      <w:marTop w:val="0"/>
      <w:marBottom w:val="0"/>
      <w:divBdr>
        <w:top w:val="none" w:sz="0" w:space="0" w:color="auto"/>
        <w:left w:val="none" w:sz="0" w:space="0" w:color="auto"/>
        <w:bottom w:val="none" w:sz="0" w:space="0" w:color="auto"/>
        <w:right w:val="none" w:sz="0" w:space="0" w:color="auto"/>
      </w:divBdr>
    </w:div>
    <w:div w:id="231158299">
      <w:bodyDiv w:val="1"/>
      <w:marLeft w:val="0"/>
      <w:marRight w:val="0"/>
      <w:marTop w:val="0"/>
      <w:marBottom w:val="0"/>
      <w:divBdr>
        <w:top w:val="none" w:sz="0" w:space="0" w:color="auto"/>
        <w:left w:val="none" w:sz="0" w:space="0" w:color="auto"/>
        <w:bottom w:val="none" w:sz="0" w:space="0" w:color="auto"/>
        <w:right w:val="none" w:sz="0" w:space="0" w:color="auto"/>
      </w:divBdr>
    </w:div>
    <w:div w:id="436801731">
      <w:bodyDiv w:val="1"/>
      <w:marLeft w:val="0"/>
      <w:marRight w:val="0"/>
      <w:marTop w:val="0"/>
      <w:marBottom w:val="0"/>
      <w:divBdr>
        <w:top w:val="none" w:sz="0" w:space="0" w:color="auto"/>
        <w:left w:val="none" w:sz="0" w:space="0" w:color="auto"/>
        <w:bottom w:val="none" w:sz="0" w:space="0" w:color="auto"/>
        <w:right w:val="none" w:sz="0" w:space="0" w:color="auto"/>
      </w:divBdr>
    </w:div>
    <w:div w:id="777602388">
      <w:bodyDiv w:val="1"/>
      <w:marLeft w:val="0"/>
      <w:marRight w:val="0"/>
      <w:marTop w:val="0"/>
      <w:marBottom w:val="0"/>
      <w:divBdr>
        <w:top w:val="none" w:sz="0" w:space="0" w:color="auto"/>
        <w:left w:val="none" w:sz="0" w:space="0" w:color="auto"/>
        <w:bottom w:val="none" w:sz="0" w:space="0" w:color="auto"/>
        <w:right w:val="none" w:sz="0" w:space="0" w:color="auto"/>
      </w:divBdr>
    </w:div>
    <w:div w:id="832599527">
      <w:bodyDiv w:val="1"/>
      <w:marLeft w:val="0"/>
      <w:marRight w:val="0"/>
      <w:marTop w:val="0"/>
      <w:marBottom w:val="0"/>
      <w:divBdr>
        <w:top w:val="none" w:sz="0" w:space="0" w:color="auto"/>
        <w:left w:val="none" w:sz="0" w:space="0" w:color="auto"/>
        <w:bottom w:val="none" w:sz="0" w:space="0" w:color="auto"/>
        <w:right w:val="none" w:sz="0" w:space="0" w:color="auto"/>
      </w:divBdr>
    </w:div>
    <w:div w:id="848257326">
      <w:bodyDiv w:val="1"/>
      <w:marLeft w:val="0"/>
      <w:marRight w:val="0"/>
      <w:marTop w:val="0"/>
      <w:marBottom w:val="0"/>
      <w:divBdr>
        <w:top w:val="none" w:sz="0" w:space="0" w:color="auto"/>
        <w:left w:val="none" w:sz="0" w:space="0" w:color="auto"/>
        <w:bottom w:val="none" w:sz="0" w:space="0" w:color="auto"/>
        <w:right w:val="none" w:sz="0" w:space="0" w:color="auto"/>
      </w:divBdr>
    </w:div>
    <w:div w:id="983781093">
      <w:bodyDiv w:val="1"/>
      <w:marLeft w:val="0"/>
      <w:marRight w:val="0"/>
      <w:marTop w:val="0"/>
      <w:marBottom w:val="0"/>
      <w:divBdr>
        <w:top w:val="none" w:sz="0" w:space="0" w:color="auto"/>
        <w:left w:val="none" w:sz="0" w:space="0" w:color="auto"/>
        <w:bottom w:val="none" w:sz="0" w:space="0" w:color="auto"/>
        <w:right w:val="none" w:sz="0" w:space="0" w:color="auto"/>
      </w:divBdr>
    </w:div>
    <w:div w:id="1106658474">
      <w:bodyDiv w:val="1"/>
      <w:marLeft w:val="0"/>
      <w:marRight w:val="0"/>
      <w:marTop w:val="0"/>
      <w:marBottom w:val="0"/>
      <w:divBdr>
        <w:top w:val="none" w:sz="0" w:space="0" w:color="auto"/>
        <w:left w:val="none" w:sz="0" w:space="0" w:color="auto"/>
        <w:bottom w:val="none" w:sz="0" w:space="0" w:color="auto"/>
        <w:right w:val="none" w:sz="0" w:space="0" w:color="auto"/>
      </w:divBdr>
    </w:div>
    <w:div w:id="1591044508">
      <w:bodyDiv w:val="1"/>
      <w:marLeft w:val="0"/>
      <w:marRight w:val="0"/>
      <w:marTop w:val="0"/>
      <w:marBottom w:val="0"/>
      <w:divBdr>
        <w:top w:val="none" w:sz="0" w:space="0" w:color="auto"/>
        <w:left w:val="none" w:sz="0" w:space="0" w:color="auto"/>
        <w:bottom w:val="none" w:sz="0" w:space="0" w:color="auto"/>
        <w:right w:val="none" w:sz="0" w:space="0" w:color="auto"/>
      </w:divBdr>
    </w:div>
    <w:div w:id="1705867715">
      <w:bodyDiv w:val="1"/>
      <w:marLeft w:val="0"/>
      <w:marRight w:val="0"/>
      <w:marTop w:val="0"/>
      <w:marBottom w:val="0"/>
      <w:divBdr>
        <w:top w:val="none" w:sz="0" w:space="0" w:color="auto"/>
        <w:left w:val="none" w:sz="0" w:space="0" w:color="auto"/>
        <w:bottom w:val="none" w:sz="0" w:space="0" w:color="auto"/>
        <w:right w:val="none" w:sz="0" w:space="0" w:color="auto"/>
      </w:divBdr>
    </w:div>
    <w:div w:id="1866022803">
      <w:bodyDiv w:val="1"/>
      <w:marLeft w:val="0"/>
      <w:marRight w:val="0"/>
      <w:marTop w:val="0"/>
      <w:marBottom w:val="0"/>
      <w:divBdr>
        <w:top w:val="none" w:sz="0" w:space="0" w:color="auto"/>
        <w:left w:val="none" w:sz="0" w:space="0" w:color="auto"/>
        <w:bottom w:val="none" w:sz="0" w:space="0" w:color="auto"/>
        <w:right w:val="none" w:sz="0" w:space="0" w:color="auto"/>
      </w:divBdr>
    </w:div>
    <w:div w:id="1984891313">
      <w:bodyDiv w:val="1"/>
      <w:marLeft w:val="0"/>
      <w:marRight w:val="0"/>
      <w:marTop w:val="0"/>
      <w:marBottom w:val="0"/>
      <w:divBdr>
        <w:top w:val="none" w:sz="0" w:space="0" w:color="auto"/>
        <w:left w:val="none" w:sz="0" w:space="0" w:color="auto"/>
        <w:bottom w:val="none" w:sz="0" w:space="0" w:color="auto"/>
        <w:right w:val="none" w:sz="0" w:space="0" w:color="auto"/>
      </w:divBdr>
    </w:div>
    <w:div w:id="2073305775">
      <w:bodyDiv w:val="1"/>
      <w:marLeft w:val="0"/>
      <w:marRight w:val="0"/>
      <w:marTop w:val="0"/>
      <w:marBottom w:val="0"/>
      <w:divBdr>
        <w:top w:val="none" w:sz="0" w:space="0" w:color="auto"/>
        <w:left w:val="none" w:sz="0" w:space="0" w:color="auto"/>
        <w:bottom w:val="none" w:sz="0" w:space="0" w:color="auto"/>
        <w:right w:val="none" w:sz="0" w:space="0" w:color="auto"/>
      </w:divBdr>
    </w:div>
    <w:div w:id="214631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9fbed83a12c485b87cea71f7c8ad96e xmlns="734e9206-d7c7-4120-bdc0-ef0b335d692f">
      <Terms xmlns="http://schemas.microsoft.com/office/infopath/2007/PartnerControls"/>
    </b9fbed83a12c485b87cea71f7c8ad96e>
    <lcf76f155ced4ddcb4097134ff3c332f xmlns="62b68ce0-a0aa-4970-bb3e-8a837653401f">
      <Terms xmlns="http://schemas.microsoft.com/office/infopath/2007/PartnerControls"/>
    </lcf76f155ced4ddcb4097134ff3c332f>
    <TaxCatchAll xmlns="734e9206-d7c7-4120-bdc0-ef0b335d692f" xsi:nil="true"/>
    <_dlc_DocId xmlns="734e9206-d7c7-4120-bdc0-ef0b335d692f">UZFTFH4Q3HJA-1706913818-60</_dlc_DocId>
    <_dlc_DocIdUrl xmlns="734e9206-d7c7-4120-bdc0-ef0b335d692f">
      <Url>https://bchpolice.sharepoint.com/sites/teamhexecmjc/_layouts/15/DocIdRedir.aspx?ID=UZFTFH4Q3HJA-1706913818-60</Url>
      <Description>UZFTFH4Q3HJA-1706913818-60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6063C3F47F688E478E196C3D0118C70D" ma:contentTypeVersion="11" ma:contentTypeDescription="Create a new document." ma:contentTypeScope="" ma:versionID="d1774f19085d7fe5e9aa02e7889819b5">
  <xsd:schema xmlns:xsd="http://www.w3.org/2001/XMLSchema" xmlns:xs="http://www.w3.org/2001/XMLSchema" xmlns:p="http://schemas.microsoft.com/office/2006/metadata/properties" xmlns:ns2="734e9206-d7c7-4120-bdc0-ef0b335d692f" xmlns:ns3="62b68ce0-a0aa-4970-bb3e-8a837653401f" targetNamespace="http://schemas.microsoft.com/office/2006/metadata/properties" ma:root="true" ma:fieldsID="9e537edcd84bfd7a2a807350bdff610c" ns2:_="" ns3:_="">
    <xsd:import namespace="734e9206-d7c7-4120-bdc0-ef0b335d692f"/>
    <xsd:import namespace="62b68ce0-a0aa-4970-bb3e-8a837653401f"/>
    <xsd:element name="properties">
      <xsd:complexType>
        <xsd:sequence>
          <xsd:element name="documentManagement">
            <xsd:complexType>
              <xsd:all>
                <xsd:element ref="ns2:_dlc_DocId" minOccurs="0"/>
                <xsd:element ref="ns2:_dlc_DocIdUrl" minOccurs="0"/>
                <xsd:element ref="ns2:_dlc_DocIdPersistId" minOccurs="0"/>
                <xsd:element ref="ns2:b9fbed83a12c485b87cea71f7c8ad96e"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e9206-d7c7-4120-bdc0-ef0b335d69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9fbed83a12c485b87cea71f7c8ad96e" ma:index="11" nillable="true" ma:taxonomy="true" ma:internalName="b9fbed83a12c485b87cea71f7c8ad96e" ma:taxonomyFieldName="ForceDepartment" ma:displayName="Department" ma:fieldId="{b9fbed83-a12c-485b-87ce-a71f7c8ad96e}"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c9900a4-a7c8-4af9-965d-4b184375771a}" ma:internalName="TaxCatchAll" ma:showField="CatchAllData" ma:web="734e9206-d7c7-4120-bdc0-ef0b335d692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c9900a4-a7c8-4af9-965d-4b184375771a}" ma:internalName="TaxCatchAllLabel" ma:readOnly="true" ma:showField="CatchAllDataLabel" ma:web="734e9206-d7c7-4120-bdc0-ef0b335d69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68ce0-a0aa-4970-bb3e-8a837653401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D37EE-DC7F-45A7-BB03-0310C7323D96}">
  <ds:schemaRefs>
    <ds:schemaRef ds:uri="http://schemas.microsoft.com/office/2006/metadata/properties"/>
    <ds:schemaRef ds:uri="http://schemas.microsoft.com/office/infopath/2007/PartnerControls"/>
    <ds:schemaRef ds:uri="734e9206-d7c7-4120-bdc0-ef0b335d692f"/>
    <ds:schemaRef ds:uri="62b68ce0-a0aa-4970-bb3e-8a837653401f"/>
  </ds:schemaRefs>
</ds:datastoreItem>
</file>

<file path=customXml/itemProps2.xml><?xml version="1.0" encoding="utf-8"?>
<ds:datastoreItem xmlns:ds="http://schemas.openxmlformats.org/officeDocument/2006/customXml" ds:itemID="{DA248A76-4CDF-47A5-BD37-54A2441BD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e9206-d7c7-4120-bdc0-ef0b335d692f"/>
    <ds:schemaRef ds:uri="62b68ce0-a0aa-4970-bb3e-8a8376534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6B19A-D125-4F35-8F43-AA78303CAA56}">
  <ds:schemaRefs>
    <ds:schemaRef ds:uri="http://schemas.microsoft.com/sharepoint/events"/>
  </ds:schemaRefs>
</ds:datastoreItem>
</file>

<file path=customXml/itemProps4.xml><?xml version="1.0" encoding="utf-8"?>
<ds:datastoreItem xmlns:ds="http://schemas.openxmlformats.org/officeDocument/2006/customXml" ds:itemID="{1B220A67-B745-4611-85A8-FC5DDF9173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4919</Words>
  <Characters>28039</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32893</CharactersWithSpaces>
  <SharedDoc>false</SharedDoc>
  <HLinks>
    <vt:vector size="60" baseType="variant">
      <vt:variant>
        <vt:i4>1376318</vt:i4>
      </vt:variant>
      <vt:variant>
        <vt:i4>56</vt:i4>
      </vt:variant>
      <vt:variant>
        <vt:i4>0</vt:i4>
      </vt:variant>
      <vt:variant>
        <vt:i4>5</vt:i4>
      </vt:variant>
      <vt:variant>
        <vt:lpwstr/>
      </vt:variant>
      <vt:variant>
        <vt:lpwstr>_Toc216180227</vt:lpwstr>
      </vt:variant>
      <vt:variant>
        <vt:i4>1376318</vt:i4>
      </vt:variant>
      <vt:variant>
        <vt:i4>50</vt:i4>
      </vt:variant>
      <vt:variant>
        <vt:i4>0</vt:i4>
      </vt:variant>
      <vt:variant>
        <vt:i4>5</vt:i4>
      </vt:variant>
      <vt:variant>
        <vt:lpwstr/>
      </vt:variant>
      <vt:variant>
        <vt:lpwstr>_Toc216180226</vt:lpwstr>
      </vt:variant>
      <vt:variant>
        <vt:i4>1376318</vt:i4>
      </vt:variant>
      <vt:variant>
        <vt:i4>44</vt:i4>
      </vt:variant>
      <vt:variant>
        <vt:i4>0</vt:i4>
      </vt:variant>
      <vt:variant>
        <vt:i4>5</vt:i4>
      </vt:variant>
      <vt:variant>
        <vt:lpwstr/>
      </vt:variant>
      <vt:variant>
        <vt:lpwstr>_Toc216180225</vt:lpwstr>
      </vt:variant>
      <vt:variant>
        <vt:i4>1376318</vt:i4>
      </vt:variant>
      <vt:variant>
        <vt:i4>38</vt:i4>
      </vt:variant>
      <vt:variant>
        <vt:i4>0</vt:i4>
      </vt:variant>
      <vt:variant>
        <vt:i4>5</vt:i4>
      </vt:variant>
      <vt:variant>
        <vt:lpwstr/>
      </vt:variant>
      <vt:variant>
        <vt:lpwstr>_Toc216180224</vt:lpwstr>
      </vt:variant>
      <vt:variant>
        <vt:i4>1376318</vt:i4>
      </vt:variant>
      <vt:variant>
        <vt:i4>32</vt:i4>
      </vt:variant>
      <vt:variant>
        <vt:i4>0</vt:i4>
      </vt:variant>
      <vt:variant>
        <vt:i4>5</vt:i4>
      </vt:variant>
      <vt:variant>
        <vt:lpwstr/>
      </vt:variant>
      <vt:variant>
        <vt:lpwstr>_Toc216180223</vt:lpwstr>
      </vt:variant>
      <vt:variant>
        <vt:i4>1376318</vt:i4>
      </vt:variant>
      <vt:variant>
        <vt:i4>26</vt:i4>
      </vt:variant>
      <vt:variant>
        <vt:i4>0</vt:i4>
      </vt:variant>
      <vt:variant>
        <vt:i4>5</vt:i4>
      </vt:variant>
      <vt:variant>
        <vt:lpwstr/>
      </vt:variant>
      <vt:variant>
        <vt:lpwstr>_Toc216180222</vt:lpwstr>
      </vt:variant>
      <vt:variant>
        <vt:i4>1376318</vt:i4>
      </vt:variant>
      <vt:variant>
        <vt:i4>20</vt:i4>
      </vt:variant>
      <vt:variant>
        <vt:i4>0</vt:i4>
      </vt:variant>
      <vt:variant>
        <vt:i4>5</vt:i4>
      </vt:variant>
      <vt:variant>
        <vt:lpwstr/>
      </vt:variant>
      <vt:variant>
        <vt:lpwstr>_Toc216180221</vt:lpwstr>
      </vt:variant>
      <vt:variant>
        <vt:i4>1376318</vt:i4>
      </vt:variant>
      <vt:variant>
        <vt:i4>14</vt:i4>
      </vt:variant>
      <vt:variant>
        <vt:i4>0</vt:i4>
      </vt:variant>
      <vt:variant>
        <vt:i4>5</vt:i4>
      </vt:variant>
      <vt:variant>
        <vt:lpwstr/>
      </vt:variant>
      <vt:variant>
        <vt:lpwstr>_Toc216180220</vt:lpwstr>
      </vt:variant>
      <vt:variant>
        <vt:i4>1441854</vt:i4>
      </vt:variant>
      <vt:variant>
        <vt:i4>8</vt:i4>
      </vt:variant>
      <vt:variant>
        <vt:i4>0</vt:i4>
      </vt:variant>
      <vt:variant>
        <vt:i4>5</vt:i4>
      </vt:variant>
      <vt:variant>
        <vt:lpwstr/>
      </vt:variant>
      <vt:variant>
        <vt:lpwstr>_Toc216180219</vt:lpwstr>
      </vt:variant>
      <vt:variant>
        <vt:i4>1441854</vt:i4>
      </vt:variant>
      <vt:variant>
        <vt:i4>2</vt:i4>
      </vt:variant>
      <vt:variant>
        <vt:i4>0</vt:i4>
      </vt:variant>
      <vt:variant>
        <vt:i4>5</vt:i4>
      </vt:variant>
      <vt:variant>
        <vt:lpwstr/>
      </vt:variant>
      <vt:variant>
        <vt:lpwstr>_Toc216180218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MONTGOMERY, Rowan 2368</dc:creator>
  <cp:keywords/>
  <dc:description/>
  <cp:lastModifiedBy>GARLEY, James 7036</cp:lastModifiedBy>
  <cp:revision>2</cp:revision>
  <dcterms:created xsi:type="dcterms:W3CDTF">2026-07-23T15:36:00Z</dcterms:created>
  <dcterms:modified xsi:type="dcterms:W3CDTF">2026-07-23T15:36:00Z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2025-11-26T18:35:59Z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5a8dbb93-5a9e-406f-86e5-45f130b30a0b</vt:lpwstr>
  </property>
  <property fmtid="{D5CDD505-2E9C-101B-9397-08002B2CF9AE}" pid="8" name="MSIP_Label_b8b5aee8-5735-4353-85b0-06b0f114040f_ContentBits">
    <vt:lpwstr>0</vt:lpwstr>
  </property>
  <property fmtid="{D5CDD505-2E9C-101B-9397-08002B2CF9AE}" pid="9" name="MSIP_Label_b8b5aee8-5735-4353-85b0-06b0f114040f_Tag">
    <vt:lpwstr>10, 3, 0, 1</vt:lpwstr>
  </property>
  <property fmtid="{D5CDD505-2E9C-101B-9397-08002B2CF9AE}" pid="10" name="ContentTypeId">
    <vt:lpwstr>0x010100F27C9619FA46FE41A4759CAFBE5D734A006063C3F47F688E478E196C3D0118C70D</vt:lpwstr>
  </property>
  <property fmtid="{D5CDD505-2E9C-101B-9397-08002B2CF9AE}" pid="11" name="_dlc_DocIdItemGuid">
    <vt:lpwstr>3d65e0d9-59ea-43e5-89fe-8fffde6e6d89</vt:lpwstr>
  </property>
  <property fmtid="{D5CDD505-2E9C-101B-9397-08002B2CF9AE}" pid="12" name="ForceDepartment">
    <vt:lpwstr/>
  </property>
  <property fmtid="{D5CDD505-2E9C-101B-9397-08002B2CF9AE}" pid="13" name="MediaServiceImageTags">
    <vt:lpwstr/>
  </property>
  <property fmtid="{D5CDD505-2E9C-101B-9397-08002B2CF9AE}" pid="14" name="docLang">
    <vt:lpwstr>en</vt:lpwstr>
  </property>
</Properties>
</file>